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EAD" w:rsidRDefault="00000000">
      <w:pPr>
        <w:pBdr>
          <w:top w:val="nil"/>
          <w:left w:val="nil"/>
          <w:bottom w:val="nil"/>
          <w:right w:val="nil"/>
          <w:between w:val="nil"/>
        </w:pBdr>
        <w:tabs>
          <w:tab w:val="left" w:pos="2059"/>
        </w:tabs>
        <w:rPr>
          <w:b/>
          <w:color w:val="000000"/>
          <w:sz w:val="32"/>
          <w:szCs w:val="32"/>
        </w:rPr>
      </w:pPr>
      <w:r>
        <w:rPr>
          <w:b/>
          <w:color w:val="000000"/>
          <w:sz w:val="32"/>
          <w:szCs w:val="32"/>
        </w:rPr>
        <w:tab/>
      </w:r>
      <w:r>
        <w:rPr>
          <w:b/>
          <w:noProof/>
          <w:color w:val="000000"/>
          <w:sz w:val="32"/>
          <w:szCs w:val="32"/>
        </w:rPr>
        <w:drawing>
          <wp:inline distT="0" distB="0" distL="0" distR="0">
            <wp:extent cx="1609795" cy="894331"/>
            <wp:effectExtent l="0" t="0" r="0" b="0"/>
            <wp:docPr id="8297990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9795" cy="894331"/>
                    </a:xfrm>
                    <a:prstGeom prst="rect">
                      <a:avLst/>
                    </a:prstGeom>
                    <a:ln/>
                  </pic:spPr>
                </pic:pic>
              </a:graphicData>
            </a:graphic>
          </wp:inline>
        </w:drawing>
      </w:r>
      <w:r>
        <w:rPr>
          <w:b/>
          <w:color w:val="000000"/>
          <w:sz w:val="32"/>
          <w:szCs w:val="32"/>
        </w:rPr>
        <w:br/>
      </w: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440793" cy="695325"/>
            <wp:effectExtent l="0" t="0" r="0" b="0"/>
            <wp:wrapSquare wrapText="bothSides" distT="0" distB="0" distL="114300" distR="114300"/>
            <wp:docPr id="8297990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440793" cy="695325"/>
                    </a:xfrm>
                    <a:prstGeom prst="rect">
                      <a:avLst/>
                    </a:prstGeom>
                    <a:ln/>
                  </pic:spPr>
                </pic:pic>
              </a:graphicData>
            </a:graphic>
          </wp:anchor>
        </w:drawing>
      </w:r>
    </w:p>
    <w:p w:rsidR="00635EAD" w:rsidRDefault="00635EAD">
      <w:pPr>
        <w:pBdr>
          <w:top w:val="nil"/>
          <w:left w:val="nil"/>
          <w:bottom w:val="nil"/>
          <w:right w:val="nil"/>
          <w:between w:val="nil"/>
        </w:pBdr>
        <w:rPr>
          <w:b/>
          <w:color w:val="000000"/>
          <w:sz w:val="32"/>
          <w:szCs w:val="32"/>
        </w:rPr>
      </w:pPr>
    </w:p>
    <w:p w:rsidR="00635EAD" w:rsidRDefault="00000000">
      <w:pPr>
        <w:pBdr>
          <w:top w:val="nil"/>
          <w:left w:val="nil"/>
          <w:bottom w:val="nil"/>
          <w:right w:val="nil"/>
          <w:between w:val="nil"/>
        </w:pBdr>
        <w:jc w:val="center"/>
        <w:rPr>
          <w:b/>
          <w:color w:val="000000"/>
          <w:sz w:val="32"/>
          <w:szCs w:val="32"/>
        </w:rPr>
      </w:pPr>
      <w:r>
        <w:rPr>
          <w:b/>
          <w:sz w:val="32"/>
          <w:szCs w:val="32"/>
        </w:rPr>
        <w:t>Appel à projets 2025</w:t>
      </w:r>
    </w:p>
    <w:p w:rsidR="00635EAD" w:rsidRDefault="00000000">
      <w:pPr>
        <w:pBdr>
          <w:top w:val="nil"/>
          <w:left w:val="nil"/>
          <w:bottom w:val="nil"/>
          <w:right w:val="nil"/>
          <w:between w:val="nil"/>
        </w:pBdr>
        <w:jc w:val="center"/>
        <w:rPr>
          <w:b/>
          <w:color w:val="000000"/>
          <w:sz w:val="32"/>
          <w:szCs w:val="32"/>
        </w:rPr>
      </w:pPr>
      <w:r>
        <w:rPr>
          <w:b/>
          <w:color w:val="000000"/>
          <w:sz w:val="32"/>
          <w:szCs w:val="32"/>
        </w:rPr>
        <w:t xml:space="preserve"> </w:t>
      </w:r>
    </w:p>
    <w:p w:rsidR="00635EAD" w:rsidRDefault="00000000">
      <w:pPr>
        <w:pBdr>
          <w:top w:val="nil"/>
          <w:left w:val="nil"/>
          <w:bottom w:val="nil"/>
          <w:right w:val="nil"/>
          <w:between w:val="nil"/>
        </w:pBdr>
        <w:jc w:val="center"/>
        <w:rPr>
          <w:b/>
          <w:color w:val="000000"/>
          <w:sz w:val="32"/>
          <w:szCs w:val="32"/>
        </w:rPr>
      </w:pPr>
      <w:r>
        <w:rPr>
          <w:b/>
          <w:sz w:val="32"/>
          <w:szCs w:val="32"/>
        </w:rPr>
        <w:t>Stigmatisation dans le domaine de la justice : Améliorer les décisions de justice pour les survivant(e)s de violences sexuelles liées aux conflits.</w:t>
      </w:r>
    </w:p>
    <w:p w:rsidR="00635EAD" w:rsidRDefault="00635EAD">
      <w:pPr>
        <w:pBdr>
          <w:top w:val="nil"/>
          <w:left w:val="nil"/>
          <w:bottom w:val="nil"/>
          <w:right w:val="nil"/>
          <w:between w:val="nil"/>
        </w:pBdr>
        <w:rPr>
          <w:b/>
          <w:color w:val="000000"/>
          <w:sz w:val="28"/>
          <w:szCs w:val="28"/>
        </w:rPr>
      </w:pPr>
    </w:p>
    <w:p w:rsidR="00635EAD" w:rsidRDefault="00000000">
      <w:pPr>
        <w:pBdr>
          <w:top w:val="nil"/>
          <w:left w:val="nil"/>
          <w:bottom w:val="nil"/>
          <w:right w:val="nil"/>
          <w:between w:val="nil"/>
        </w:pBdr>
        <w:jc w:val="center"/>
        <w:rPr>
          <w:b/>
          <w:color w:val="000000"/>
          <w:sz w:val="28"/>
          <w:szCs w:val="28"/>
        </w:rPr>
      </w:pPr>
      <w:r>
        <w:rPr>
          <w:b/>
          <w:sz w:val="28"/>
          <w:szCs w:val="28"/>
        </w:rPr>
        <w:t xml:space="preserve">Lignes directrices adressées aux demandeurs de subventions </w:t>
      </w:r>
    </w:p>
    <w:p w:rsidR="00635EAD" w:rsidRDefault="00635EAD">
      <w:pPr>
        <w:pBdr>
          <w:top w:val="nil"/>
          <w:left w:val="nil"/>
          <w:bottom w:val="nil"/>
          <w:right w:val="nil"/>
          <w:between w:val="nil"/>
        </w:pBdr>
        <w:jc w:val="center"/>
        <w:rPr>
          <w:b/>
          <w:color w:val="000000"/>
          <w:sz w:val="32"/>
          <w:szCs w:val="32"/>
        </w:rPr>
      </w:pPr>
    </w:p>
    <w:p w:rsidR="00635EAD" w:rsidRDefault="00000000">
      <w:pPr>
        <w:pBdr>
          <w:top w:val="nil"/>
          <w:left w:val="nil"/>
          <w:bottom w:val="nil"/>
          <w:right w:val="nil"/>
          <w:between w:val="nil"/>
        </w:pBdr>
        <w:jc w:val="center"/>
        <w:rPr>
          <w:color w:val="000000"/>
        </w:rPr>
      </w:pPr>
      <w:r>
        <w:rPr>
          <w:sz w:val="32"/>
          <w:szCs w:val="32"/>
        </w:rPr>
        <w:t>Date limite de soumission de la demande </w:t>
      </w:r>
      <w:r>
        <w:rPr>
          <w:color w:val="000000"/>
          <w:sz w:val="32"/>
          <w:szCs w:val="32"/>
        </w:rPr>
        <w:t>:</w:t>
      </w:r>
    </w:p>
    <w:p w:rsidR="00635EAD" w:rsidRDefault="00000000">
      <w:pPr>
        <w:pBdr>
          <w:top w:val="nil"/>
          <w:left w:val="nil"/>
          <w:bottom w:val="nil"/>
          <w:right w:val="nil"/>
          <w:between w:val="nil"/>
        </w:pBdr>
        <w:jc w:val="center"/>
        <w:rPr>
          <w:b/>
          <w:color w:val="000000"/>
          <w:sz w:val="32"/>
          <w:szCs w:val="32"/>
        </w:rPr>
      </w:pPr>
      <w:r>
        <w:rPr>
          <w:b/>
          <w:color w:val="000000"/>
          <w:sz w:val="32"/>
          <w:szCs w:val="32"/>
        </w:rPr>
        <w:t xml:space="preserve">25/02/2025 </w:t>
      </w:r>
      <w:r>
        <w:rPr>
          <w:b/>
          <w:sz w:val="32"/>
          <w:szCs w:val="32"/>
        </w:rPr>
        <w:t>à 18h00 (date et heure de Paris</w:t>
      </w:r>
      <w:r>
        <w:rPr>
          <w:b/>
          <w:color w:val="000000"/>
          <w:sz w:val="32"/>
          <w:szCs w:val="32"/>
        </w:rPr>
        <w:t>)</w:t>
      </w:r>
    </w:p>
    <w:p w:rsidR="00635EAD" w:rsidRDefault="00000000">
      <w:pPr>
        <w:pBdr>
          <w:top w:val="nil"/>
          <w:left w:val="nil"/>
          <w:bottom w:val="nil"/>
          <w:right w:val="nil"/>
          <w:between w:val="nil"/>
        </w:pBdr>
        <w:jc w:val="center"/>
        <w:rPr>
          <w:color w:val="000000"/>
        </w:rPr>
      </w:pPr>
      <w:bookmarkStart w:id="0" w:name="_heading=h.gjdgxs" w:colFirst="0" w:colLast="0"/>
      <w:bookmarkEnd w:id="0"/>
      <w:r>
        <w:rPr>
          <w:color w:val="000000"/>
        </w:rPr>
        <w:t>(</w:t>
      </w:r>
      <w:r>
        <w:t xml:space="preserve">Pour convertir cette heure dans votre heure locale, veuillez cliquer </w:t>
      </w:r>
      <w:hyperlink r:id="rId10">
        <w:r>
          <w:rPr>
            <w:b/>
            <w:color w:val="0000FF"/>
            <w:u w:val="single"/>
          </w:rPr>
          <w:t>ici</w:t>
        </w:r>
      </w:hyperlink>
      <w:r>
        <w:rPr>
          <w:color w:val="000000"/>
        </w:rPr>
        <w:t>)</w:t>
      </w:r>
    </w:p>
    <w:p w:rsidR="00635EAD" w:rsidRDefault="00635EAD">
      <w:pPr>
        <w:pBdr>
          <w:top w:val="nil"/>
          <w:left w:val="nil"/>
          <w:bottom w:val="nil"/>
          <w:right w:val="nil"/>
          <w:between w:val="nil"/>
        </w:pBd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Bdr>
          <w:top w:val="nil"/>
          <w:left w:val="nil"/>
          <w:bottom w:val="nil"/>
          <w:right w:val="nil"/>
          <w:between w:val="nil"/>
        </w:pBdr>
        <w:jc w:val="center"/>
        <w:rPr>
          <w:color w:val="000000"/>
        </w:rPr>
      </w:pPr>
    </w:p>
    <w:p w:rsidR="00635EAD" w:rsidRDefault="00635EAD">
      <w:pPr>
        <w:pStyle w:val="Titre1"/>
      </w:pPr>
    </w:p>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000000">
      <w:pPr>
        <w:keepNext/>
        <w:keepLines/>
        <w:pBdr>
          <w:top w:val="nil"/>
          <w:left w:val="nil"/>
          <w:bottom w:val="nil"/>
          <w:right w:val="nil"/>
          <w:between w:val="nil"/>
        </w:pBdr>
        <w:spacing w:before="480" w:line="276" w:lineRule="auto"/>
        <w:rPr>
          <w:rFonts w:ascii="Calibri" w:eastAsia="Calibri" w:hAnsi="Calibri" w:cs="Calibri"/>
          <w:b/>
          <w:color w:val="2F5496"/>
          <w:sz w:val="28"/>
          <w:szCs w:val="28"/>
        </w:rPr>
      </w:pPr>
      <w:r>
        <w:rPr>
          <w:rFonts w:ascii="Calibri" w:eastAsia="Calibri" w:hAnsi="Calibri" w:cs="Calibri"/>
          <w:b/>
          <w:color w:val="2F5496"/>
          <w:sz w:val="28"/>
          <w:szCs w:val="28"/>
        </w:rPr>
        <w:lastRenderedPageBreak/>
        <w:t>Table des matières</w:t>
      </w:r>
    </w:p>
    <w:sdt>
      <w:sdtPr>
        <w:id w:val="-1455250680"/>
        <w:docPartObj>
          <w:docPartGallery w:val="Table of Contents"/>
          <w:docPartUnique/>
        </w:docPartObj>
      </w:sdtPr>
      <w:sdtContent>
        <w:p w:rsidR="00635EAD" w:rsidRDefault="00000000">
          <w:pPr>
            <w:pBdr>
              <w:top w:val="nil"/>
              <w:left w:val="nil"/>
              <w:bottom w:val="nil"/>
              <w:right w:val="nil"/>
              <w:between w:val="nil"/>
            </w:pBdr>
            <w:tabs>
              <w:tab w:val="right" w:pos="9056"/>
              <w:tab w:val="left" w:pos="480"/>
            </w:tabs>
            <w:spacing w:before="360" w:line="360" w:lineRule="auto"/>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30j0zll">
            <w:r>
              <w:rPr>
                <w:b/>
                <w:i/>
                <w:color w:val="000000"/>
              </w:rPr>
              <w:t>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b/>
              <w:i/>
              <w:color w:val="000000"/>
            </w:rPr>
            <w:t>PROJET « STIGMATISATION DANS LE DOMAINE DE LA JUSTICE »</w:t>
          </w:r>
          <w:r>
            <w:rPr>
              <w:b/>
              <w:i/>
              <w:color w:val="000000"/>
            </w:rPr>
            <w:tab/>
            <w:t>3</w:t>
          </w:r>
          <w:r>
            <w:fldChar w:fldCharType="end"/>
          </w:r>
        </w:p>
        <w:p w:rsidR="00635EAD" w:rsidRDefault="00000000">
          <w:pPr>
            <w:pBdr>
              <w:top w:val="nil"/>
              <w:left w:val="nil"/>
              <w:bottom w:val="nil"/>
              <w:right w:val="nil"/>
              <w:between w:val="nil"/>
            </w:pBdr>
            <w:tabs>
              <w:tab w:val="right" w:pos="9056"/>
            </w:tabs>
            <w:spacing w:before="120"/>
            <w:ind w:left="240"/>
            <w:rPr>
              <w:rFonts w:ascii="Calibri" w:eastAsia="Calibri" w:hAnsi="Calibri" w:cs="Calibri"/>
              <w:color w:val="000000"/>
              <w:sz w:val="22"/>
              <w:szCs w:val="22"/>
            </w:rPr>
          </w:pPr>
          <w:hyperlink w:anchor="_heading=h.1fob9te">
            <w:r>
              <w:rPr>
                <w:b/>
                <w:color w:val="000000"/>
                <w:sz w:val="22"/>
                <w:szCs w:val="22"/>
              </w:rPr>
              <w:t>1.1 CONTEXTE</w:t>
            </w:r>
            <w:r>
              <w:rPr>
                <w:b/>
                <w:color w:val="000000"/>
                <w:sz w:val="22"/>
                <w:szCs w:val="22"/>
              </w:rPr>
              <w:tab/>
              <w:t>3</w:t>
            </w:r>
          </w:hyperlink>
        </w:p>
        <w:p w:rsidR="00635EAD" w:rsidRDefault="00000000">
          <w:pPr>
            <w:pBdr>
              <w:top w:val="nil"/>
              <w:left w:val="nil"/>
              <w:bottom w:val="nil"/>
              <w:right w:val="nil"/>
              <w:between w:val="nil"/>
            </w:pBdr>
            <w:tabs>
              <w:tab w:val="right" w:pos="9056"/>
            </w:tabs>
            <w:spacing w:before="120"/>
            <w:ind w:left="240"/>
            <w:rPr>
              <w:rFonts w:ascii="Calibri" w:eastAsia="Calibri" w:hAnsi="Calibri" w:cs="Calibri"/>
              <w:color w:val="000000"/>
              <w:sz w:val="22"/>
              <w:szCs w:val="22"/>
            </w:rPr>
          </w:pPr>
          <w:hyperlink w:anchor="_heading=h.3znysh7">
            <w:r>
              <w:rPr>
                <w:b/>
                <w:color w:val="000000"/>
                <w:sz w:val="22"/>
                <w:szCs w:val="22"/>
              </w:rPr>
              <w:t>1.2 OBJECTIFS</w:t>
            </w:r>
            <w:r>
              <w:rPr>
                <w:b/>
                <w:color w:val="000000"/>
                <w:sz w:val="22"/>
                <w:szCs w:val="22"/>
              </w:rPr>
              <w:tab/>
              <w:t>3</w:t>
            </w:r>
          </w:hyperlink>
        </w:p>
        <w:p w:rsidR="00635EAD" w:rsidRDefault="00000000">
          <w:pPr>
            <w:pBdr>
              <w:top w:val="nil"/>
              <w:left w:val="nil"/>
              <w:bottom w:val="nil"/>
              <w:right w:val="nil"/>
              <w:between w:val="nil"/>
            </w:pBdr>
            <w:tabs>
              <w:tab w:val="right" w:pos="9056"/>
            </w:tabs>
            <w:spacing w:before="120"/>
            <w:ind w:left="240"/>
            <w:rPr>
              <w:rFonts w:ascii="Calibri" w:eastAsia="Calibri" w:hAnsi="Calibri" w:cs="Calibri"/>
              <w:color w:val="000000"/>
              <w:sz w:val="22"/>
              <w:szCs w:val="22"/>
            </w:rPr>
          </w:pPr>
          <w:hyperlink w:anchor="_heading=h.2et92p0">
            <w:r>
              <w:rPr>
                <w:b/>
                <w:color w:val="000000"/>
                <w:sz w:val="22"/>
                <w:szCs w:val="22"/>
              </w:rPr>
              <w:t>1.3 MONTANT DES SUBVENTIONS</w:t>
            </w:r>
            <w:r>
              <w:rPr>
                <w:b/>
                <w:color w:val="000000"/>
                <w:sz w:val="22"/>
                <w:szCs w:val="22"/>
              </w:rPr>
              <w:tab/>
              <w:t>4</w:t>
            </w:r>
          </w:hyperlink>
        </w:p>
        <w:p w:rsidR="00635EAD" w:rsidRDefault="00000000">
          <w:pPr>
            <w:pBdr>
              <w:top w:val="nil"/>
              <w:left w:val="nil"/>
              <w:bottom w:val="nil"/>
              <w:right w:val="nil"/>
              <w:between w:val="nil"/>
            </w:pBdr>
            <w:tabs>
              <w:tab w:val="right" w:pos="9056"/>
            </w:tabs>
            <w:spacing w:before="360" w:line="360" w:lineRule="auto"/>
            <w:rPr>
              <w:rFonts w:ascii="Calibri" w:eastAsia="Calibri" w:hAnsi="Calibri" w:cs="Calibri"/>
              <w:color w:val="000000"/>
              <w:sz w:val="22"/>
              <w:szCs w:val="22"/>
            </w:rPr>
          </w:pPr>
          <w:hyperlink w:anchor="_heading=h.tyjcwt">
            <w:r>
              <w:rPr>
                <w:b/>
                <w:i/>
                <w:color w:val="000000"/>
              </w:rPr>
              <w:t>2. RÈGLES APPLICABLES AU PRÉSENT APPEL À PROJETS</w:t>
            </w:r>
            <w:r>
              <w:rPr>
                <w:b/>
                <w:i/>
                <w:color w:val="000000"/>
              </w:rPr>
              <w:tab/>
              <w:t>4</w:t>
            </w:r>
          </w:hyperlink>
        </w:p>
        <w:p w:rsidR="00635EAD" w:rsidRDefault="00000000">
          <w:pPr>
            <w:pBdr>
              <w:top w:val="nil"/>
              <w:left w:val="nil"/>
              <w:bottom w:val="nil"/>
              <w:right w:val="nil"/>
              <w:between w:val="nil"/>
            </w:pBdr>
            <w:tabs>
              <w:tab w:val="right" w:pos="9056"/>
            </w:tabs>
            <w:spacing w:before="120"/>
            <w:ind w:left="240"/>
            <w:rPr>
              <w:rFonts w:ascii="Calibri" w:eastAsia="Calibri" w:hAnsi="Calibri" w:cs="Calibri"/>
              <w:color w:val="000000"/>
              <w:sz w:val="22"/>
              <w:szCs w:val="22"/>
            </w:rPr>
          </w:pPr>
          <w:hyperlink w:anchor="_heading=h.3dy6vkm">
            <w:r>
              <w:rPr>
                <w:b/>
                <w:color w:val="000000"/>
                <w:sz w:val="22"/>
                <w:szCs w:val="22"/>
              </w:rPr>
              <w:t>2.1 CRITÈRES D'ÉLIGIBILITÉ</w:t>
            </w:r>
            <w:r>
              <w:rPr>
                <w:b/>
                <w:color w:val="000000"/>
                <w:sz w:val="22"/>
                <w:szCs w:val="22"/>
              </w:rPr>
              <w:tab/>
              <w:t>4</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1t3h5sf">
            <w:r>
              <w:rPr>
                <w:color w:val="000000"/>
                <w:sz w:val="20"/>
                <w:szCs w:val="20"/>
              </w:rPr>
              <w:t>2.1.1 Éligibilité des candidats</w:t>
            </w:r>
            <w:r>
              <w:rPr>
                <w:color w:val="000000"/>
                <w:sz w:val="20"/>
                <w:szCs w:val="20"/>
              </w:rPr>
              <w:tab/>
              <w:t>4</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4d34og8">
            <w:r>
              <w:rPr>
                <w:color w:val="000000"/>
                <w:sz w:val="20"/>
                <w:szCs w:val="20"/>
              </w:rPr>
              <w:t>2.1.2 Objectifs et activités éligibles</w:t>
            </w:r>
            <w:r>
              <w:rPr>
                <w:color w:val="000000"/>
                <w:sz w:val="20"/>
                <w:szCs w:val="20"/>
              </w:rPr>
              <w:tab/>
              <w:t>4</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2s8eyo1">
            <w:r>
              <w:rPr>
                <w:color w:val="000000"/>
                <w:sz w:val="20"/>
                <w:szCs w:val="20"/>
              </w:rPr>
              <w:t>2.1.3 Dépenses non éligibles à la subvention</w:t>
            </w:r>
            <w:r>
              <w:rPr>
                <w:color w:val="000000"/>
                <w:sz w:val="20"/>
                <w:szCs w:val="20"/>
              </w:rPr>
              <w:tab/>
              <w:t>5</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17dp8vu">
            <w:r>
              <w:rPr>
                <w:color w:val="000000"/>
                <w:sz w:val="20"/>
                <w:szCs w:val="20"/>
              </w:rPr>
              <w:t>2.1.4 Durée du projet</w:t>
            </w:r>
            <w:r>
              <w:rPr>
                <w:color w:val="000000"/>
                <w:sz w:val="20"/>
                <w:szCs w:val="20"/>
              </w:rPr>
              <w:tab/>
              <w:t>6</w:t>
            </w:r>
          </w:hyperlink>
        </w:p>
        <w:p w:rsidR="00635EAD" w:rsidRDefault="00000000">
          <w:pPr>
            <w:pBdr>
              <w:top w:val="nil"/>
              <w:left w:val="nil"/>
              <w:bottom w:val="nil"/>
              <w:right w:val="nil"/>
              <w:between w:val="nil"/>
            </w:pBdr>
            <w:tabs>
              <w:tab w:val="right" w:pos="9056"/>
            </w:tabs>
            <w:spacing w:before="120"/>
            <w:ind w:left="240"/>
            <w:rPr>
              <w:rFonts w:ascii="Calibri" w:eastAsia="Calibri" w:hAnsi="Calibri" w:cs="Calibri"/>
              <w:color w:val="000000"/>
              <w:sz w:val="22"/>
              <w:szCs w:val="22"/>
            </w:rPr>
          </w:pPr>
          <w:hyperlink w:anchor="_heading=h.3rdcrjn">
            <w:r>
              <w:rPr>
                <w:b/>
                <w:color w:val="000000"/>
                <w:sz w:val="22"/>
                <w:szCs w:val="22"/>
              </w:rPr>
              <w:t>2.2 MODALITÉS DE CANDIDATURE ET PROCÉDURE À SUIVRE</w:t>
            </w:r>
            <w:r>
              <w:rPr>
                <w:b/>
                <w:color w:val="000000"/>
                <w:sz w:val="22"/>
                <w:szCs w:val="22"/>
              </w:rPr>
              <w:tab/>
              <w:t>6</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26in1rg">
            <w:r>
              <w:rPr>
                <w:color w:val="000000"/>
                <w:sz w:val="20"/>
                <w:szCs w:val="20"/>
              </w:rPr>
              <w:t>2.2.1 Contenu du formulaire de candidature</w:t>
            </w:r>
            <w:r>
              <w:rPr>
                <w:color w:val="000000"/>
                <w:sz w:val="20"/>
                <w:szCs w:val="20"/>
              </w:rPr>
              <w:tab/>
              <w:t>6</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lnxbz9">
            <w:r>
              <w:rPr>
                <w:color w:val="000000"/>
                <w:sz w:val="20"/>
                <w:szCs w:val="20"/>
              </w:rPr>
              <w:t>2.2.2 Où et comment envoyer le formulaire de candidature</w:t>
            </w:r>
            <w:r>
              <w:rPr>
                <w:color w:val="000000"/>
                <w:sz w:val="20"/>
                <w:szCs w:val="20"/>
              </w:rPr>
              <w:tab/>
              <w:t>6</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49x2ik5">
            <w:r>
              <w:rPr>
                <w:color w:val="000000"/>
                <w:sz w:val="20"/>
                <w:szCs w:val="20"/>
              </w:rPr>
              <w:t>2.2.3 Processus d'examen des candidatures et calendrier</w:t>
            </w:r>
            <w:r>
              <w:rPr>
                <w:color w:val="000000"/>
                <w:sz w:val="20"/>
                <w:szCs w:val="20"/>
              </w:rPr>
              <w:tab/>
              <w:t>6</w:t>
            </w:r>
          </w:hyperlink>
        </w:p>
        <w:p w:rsidR="00635EAD" w:rsidRDefault="00000000">
          <w:pPr>
            <w:pBdr>
              <w:top w:val="nil"/>
              <w:left w:val="nil"/>
              <w:bottom w:val="nil"/>
              <w:right w:val="nil"/>
              <w:between w:val="nil"/>
            </w:pBdr>
            <w:tabs>
              <w:tab w:val="right" w:pos="9056"/>
            </w:tabs>
            <w:ind w:left="480"/>
            <w:rPr>
              <w:rFonts w:ascii="Calibri" w:eastAsia="Calibri" w:hAnsi="Calibri" w:cs="Calibri"/>
              <w:color w:val="000000"/>
              <w:sz w:val="22"/>
              <w:szCs w:val="22"/>
            </w:rPr>
          </w:pPr>
          <w:hyperlink w:anchor="_heading=h.2p2csry">
            <w:r>
              <w:rPr>
                <w:color w:val="000000"/>
                <w:sz w:val="20"/>
                <w:szCs w:val="20"/>
              </w:rPr>
              <w:t>2.2.4 Date limite pour les questions et la soumission du formulaire de candidature</w:t>
            </w:r>
            <w:r>
              <w:rPr>
                <w:color w:val="000000"/>
                <w:sz w:val="20"/>
                <w:szCs w:val="20"/>
              </w:rPr>
              <w:tab/>
              <w:t>6</w:t>
            </w:r>
          </w:hyperlink>
        </w:p>
        <w:p w:rsidR="00635EAD" w:rsidRDefault="00000000">
          <w:r>
            <w:fldChar w:fldCharType="end"/>
          </w:r>
        </w:p>
      </w:sdtContent>
    </w:sdt>
    <w:p w:rsidR="00635EAD" w:rsidRDefault="00635EAD">
      <w:pPr>
        <w:pStyle w:val="Titre1"/>
      </w:pPr>
    </w:p>
    <w:p w:rsidR="00635EAD" w:rsidRDefault="00635EAD"/>
    <w:p w:rsidR="00635EAD" w:rsidRDefault="00635EAD"/>
    <w:p w:rsidR="00635EAD" w:rsidRDefault="00635EAD">
      <w:pPr>
        <w:pStyle w:val="Titre1"/>
      </w:pPr>
    </w:p>
    <w:p w:rsidR="00635EAD" w:rsidRDefault="00635EAD">
      <w:pPr>
        <w:pStyle w:val="Titre1"/>
      </w:pPr>
    </w:p>
    <w:p w:rsidR="00635EAD" w:rsidRDefault="00635EAD"/>
    <w:p w:rsidR="00635EAD" w:rsidRDefault="00635EAD"/>
    <w:p w:rsidR="00635EAD" w:rsidRDefault="00635EAD">
      <w:pPr>
        <w:pStyle w:val="Titre1"/>
      </w:pPr>
    </w:p>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635EAD"/>
    <w:p w:rsidR="00635EAD" w:rsidRDefault="00000000">
      <w:pPr>
        <w:pStyle w:val="Titre1"/>
        <w:numPr>
          <w:ilvl w:val="0"/>
          <w:numId w:val="3"/>
        </w:num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lastRenderedPageBreak/>
        <w:t>PROJET « STIGMATISATION DANS LE DOMAINE DE LA JUSTICE »</w:t>
      </w:r>
    </w:p>
    <w:p w:rsidR="00635EAD" w:rsidRDefault="00635EAD"/>
    <w:p w:rsidR="00635EAD" w:rsidRDefault="00000000">
      <w:pPr>
        <w:pStyle w:val="Titre2"/>
      </w:pPr>
      <w:bookmarkStart w:id="2" w:name="_heading=h.1fob9te" w:colFirst="0" w:colLast="0"/>
      <w:bookmarkEnd w:id="2"/>
      <w:r>
        <w:t>1.1 CONTEXTE</w:t>
      </w:r>
    </w:p>
    <w:p w:rsidR="00635EAD" w:rsidRDefault="00000000">
      <w:pPr>
        <w:jc w:val="both"/>
        <w:rPr>
          <w:sz w:val="22"/>
          <w:szCs w:val="22"/>
        </w:rPr>
      </w:pPr>
      <w:r>
        <w:rPr>
          <w:sz w:val="22"/>
          <w:szCs w:val="22"/>
        </w:rPr>
        <w:t>Le projet « </w:t>
      </w:r>
      <w:r>
        <w:rPr>
          <w:i/>
          <w:sz w:val="22"/>
          <w:szCs w:val="22"/>
        </w:rPr>
        <w:t>Stigmatisation dans le domaine de la justice</w:t>
      </w:r>
      <w:r>
        <w:rPr>
          <w:sz w:val="22"/>
          <w:szCs w:val="22"/>
        </w:rPr>
        <w:t> </w:t>
      </w:r>
      <w:r>
        <w:rPr>
          <w:i/>
          <w:sz w:val="22"/>
          <w:szCs w:val="22"/>
        </w:rPr>
        <w:t>»</w:t>
      </w:r>
      <w:r>
        <w:rPr>
          <w:sz w:val="22"/>
          <w:szCs w:val="22"/>
        </w:rPr>
        <w:t xml:space="preserve"> vise à améliorer les processus et décisions de justice pour les survivant(e)s de violences sexuelles liées aux conflits du monde entier, en assurant un accès et un parcours sûrs aux personnes s'engageant dans le processus judiciaire. Grâce à sa collaboration directe avec les institutions judiciaires nationales et internationales, les organisations de la société civile, les survivant(e)s et les réseaux de survivant(e)s, Synergy for Justice s'est imposé comme un acteur clé dans ce domaine.</w:t>
      </w:r>
    </w:p>
    <w:p w:rsidR="00635EAD" w:rsidRDefault="00635EAD">
      <w:pPr>
        <w:rPr>
          <w:sz w:val="22"/>
          <w:szCs w:val="22"/>
        </w:rPr>
      </w:pPr>
    </w:p>
    <w:p w:rsidR="00635EAD" w:rsidRDefault="00000000">
      <w:pPr>
        <w:jc w:val="both"/>
        <w:rPr>
          <w:sz w:val="22"/>
          <w:szCs w:val="22"/>
        </w:rPr>
      </w:pPr>
      <w:r>
        <w:rPr>
          <w:sz w:val="22"/>
          <w:szCs w:val="22"/>
        </w:rPr>
        <w:t>En 2023, Synergy for Justice a développé un Guide sur la stigmatisation des violences sexuelles liées aux conflits dans la justice afin d’aider les acteurs judiciaires, les OSCs et les réseaux de survivant(e)s à lutter contre la stigmatisation, les mythes, les stéréotypes et les préjugés propres aux violences sexuelles liées aux conflits au sein des systèmes de justice pénale. Le guide se concentre sur l'identification des axes d'amélioration et l’élimination des lacunes de ces systèmes, en s’appuyant sur une approche centrée sur les survivant(e)s leur permettant de se sentir en sécurité. En outre, le guide fournit des outils d'évaluation, de réflexion et de réforme qui visent à améliorer les pratiques, les décisions de justice et les interactions avec les survivant(e)s.</w:t>
      </w:r>
    </w:p>
    <w:p w:rsidR="00635EAD" w:rsidRDefault="00635EAD">
      <w:pPr>
        <w:rPr>
          <w:sz w:val="22"/>
          <w:szCs w:val="22"/>
        </w:rPr>
      </w:pPr>
    </w:p>
    <w:p w:rsidR="00635EAD" w:rsidRDefault="00000000">
      <w:pPr>
        <w:pBdr>
          <w:top w:val="nil"/>
          <w:left w:val="nil"/>
          <w:bottom w:val="nil"/>
          <w:right w:val="nil"/>
          <w:between w:val="nil"/>
        </w:pBdr>
        <w:jc w:val="both"/>
        <w:rPr>
          <w:b/>
          <w:color w:val="000000"/>
          <w:sz w:val="22"/>
          <w:szCs w:val="22"/>
        </w:rPr>
      </w:pPr>
      <w:r>
        <w:rPr>
          <w:sz w:val="22"/>
          <w:szCs w:val="22"/>
        </w:rPr>
        <w:t xml:space="preserve">Conçu pour être un moteur du changement, le guide vise à mettre fin aux préjugés et à la stigmatisation structurelle dans les processus de justice, en s'attaquant à la culture organisationnelle et aux causes profondes de la stigmatisation. Il fournit un cadre d’évaluation des éléments clés des processus et des institutions de la justice pénale où la stigmatisation, les mythes et les préjugés ont l’impact le plus important, à travers différentes fonctions, agences de justice et étapes du processus judiciaire. </w:t>
      </w:r>
      <w:r>
        <w:rPr>
          <w:b/>
          <w:sz w:val="22"/>
          <w:szCs w:val="22"/>
        </w:rPr>
        <w:t>Les bénéficiaires sélectionnés dans le cadre de cet appel à projets recevront une formation sur l'utilisation du guide dès le lancement du projet et seront accompagnés par un expert pendant toute la durée du projet</w:t>
      </w:r>
      <w:r>
        <w:rPr>
          <w:b/>
          <w:color w:val="000000"/>
          <w:sz w:val="22"/>
          <w:szCs w:val="22"/>
        </w:rPr>
        <w:t>.</w:t>
      </w:r>
    </w:p>
    <w:p w:rsidR="00635EAD" w:rsidRDefault="00635EAD">
      <w:pPr>
        <w:pBdr>
          <w:top w:val="nil"/>
          <w:left w:val="nil"/>
          <w:bottom w:val="nil"/>
          <w:right w:val="nil"/>
          <w:between w:val="nil"/>
        </w:pBdr>
        <w:jc w:val="both"/>
        <w:rPr>
          <w:color w:val="000000"/>
          <w:sz w:val="22"/>
          <w:szCs w:val="22"/>
        </w:rPr>
      </w:pPr>
    </w:p>
    <w:p w:rsidR="00635EAD" w:rsidRDefault="00000000">
      <w:pPr>
        <w:pStyle w:val="Titre2"/>
      </w:pPr>
      <w:bookmarkStart w:id="3" w:name="_heading=h.3znysh7" w:colFirst="0" w:colLast="0"/>
      <w:bookmarkEnd w:id="3"/>
      <w:r>
        <w:t>1.2 OBJECTIFS</w:t>
      </w:r>
    </w:p>
    <w:p w:rsidR="00635EAD" w:rsidRDefault="00000000">
      <w:pPr>
        <w:rPr>
          <w:sz w:val="22"/>
          <w:szCs w:val="22"/>
        </w:rPr>
      </w:pPr>
      <w:r>
        <w:rPr>
          <w:sz w:val="22"/>
          <w:szCs w:val="22"/>
        </w:rPr>
        <w:t xml:space="preserve">Nous recherchons des partenaires désireux de tester et d'utiliser le guide sur la stigmatisation dans la justice en utilisant ses différents indicateurs portant sur des étapes clés du processus de justice pénale. </w:t>
      </w:r>
    </w:p>
    <w:p w:rsidR="00635EAD" w:rsidRDefault="00000000">
      <w:pPr>
        <w:pBdr>
          <w:top w:val="nil"/>
          <w:left w:val="nil"/>
          <w:bottom w:val="nil"/>
          <w:right w:val="nil"/>
          <w:between w:val="nil"/>
        </w:pBdr>
        <w:jc w:val="both"/>
        <w:rPr>
          <w:color w:val="000000"/>
          <w:sz w:val="22"/>
          <w:szCs w:val="22"/>
        </w:rPr>
      </w:pPr>
      <w:r>
        <w:rPr>
          <w:sz w:val="22"/>
          <w:szCs w:val="22"/>
        </w:rPr>
        <w:t>Les objectifs comprennent </w:t>
      </w:r>
      <w:r>
        <w:rPr>
          <w:color w:val="000000"/>
          <w:sz w:val="22"/>
          <w:szCs w:val="22"/>
        </w:rPr>
        <w:t>:</w:t>
      </w:r>
    </w:p>
    <w:p w:rsidR="00635EAD" w:rsidRDefault="00000000">
      <w:pPr>
        <w:numPr>
          <w:ilvl w:val="0"/>
          <w:numId w:val="10"/>
        </w:numPr>
        <w:pBdr>
          <w:top w:val="nil"/>
          <w:left w:val="nil"/>
          <w:bottom w:val="nil"/>
          <w:right w:val="nil"/>
          <w:between w:val="nil"/>
        </w:pBdr>
        <w:jc w:val="both"/>
        <w:rPr>
          <w:color w:val="000000"/>
          <w:sz w:val="22"/>
          <w:szCs w:val="22"/>
        </w:rPr>
      </w:pPr>
      <w:r>
        <w:rPr>
          <w:sz w:val="22"/>
          <w:szCs w:val="22"/>
        </w:rPr>
        <w:t>La collecte de données en s’appuyant sur les indicateurs du guide afin d'évaluer et d'identifier les tendances, les points forts, les lacunes et les défis auxquels sont confrontés les survivant(e)s de violences sexuelles liées aux conflits</w:t>
      </w:r>
      <w:r>
        <w:rPr>
          <w:color w:val="000000"/>
          <w:sz w:val="22"/>
          <w:szCs w:val="22"/>
        </w:rPr>
        <w:t xml:space="preserve"> </w:t>
      </w:r>
      <w:r>
        <w:rPr>
          <w:sz w:val="22"/>
          <w:szCs w:val="22"/>
        </w:rPr>
        <w:t>au sein du système judiciaire.</w:t>
      </w:r>
      <w:r>
        <w:rPr>
          <w:color w:val="000000"/>
          <w:sz w:val="22"/>
          <w:szCs w:val="22"/>
        </w:rPr>
        <w:t xml:space="preserve"> </w:t>
      </w:r>
    </w:p>
    <w:p w:rsidR="00635EAD" w:rsidRDefault="00000000">
      <w:pPr>
        <w:numPr>
          <w:ilvl w:val="0"/>
          <w:numId w:val="10"/>
        </w:numPr>
        <w:pBdr>
          <w:top w:val="nil"/>
          <w:left w:val="nil"/>
          <w:bottom w:val="nil"/>
          <w:right w:val="nil"/>
          <w:between w:val="nil"/>
        </w:pBdr>
        <w:jc w:val="both"/>
        <w:rPr>
          <w:sz w:val="22"/>
          <w:szCs w:val="22"/>
        </w:rPr>
      </w:pPr>
      <w:r>
        <w:rPr>
          <w:sz w:val="22"/>
          <w:szCs w:val="22"/>
        </w:rPr>
        <w:t>L’exploitation des résultats des indicateurs afin de rédiger des rapports thématiques ou de plaidoyers visant à influencer l’évolution des politiques et des pratiques relatives à la prise en compte du stigma au sein des procédures judiciaires.</w:t>
      </w:r>
    </w:p>
    <w:p w:rsidR="00635EAD" w:rsidRDefault="00000000">
      <w:pPr>
        <w:numPr>
          <w:ilvl w:val="0"/>
          <w:numId w:val="10"/>
        </w:numPr>
        <w:pBdr>
          <w:top w:val="nil"/>
          <w:left w:val="nil"/>
          <w:bottom w:val="nil"/>
          <w:right w:val="nil"/>
          <w:between w:val="nil"/>
        </w:pBdr>
        <w:rPr>
          <w:color w:val="000000"/>
          <w:sz w:val="22"/>
          <w:szCs w:val="22"/>
        </w:rPr>
      </w:pPr>
      <w:r>
        <w:rPr>
          <w:color w:val="000000"/>
          <w:sz w:val="22"/>
          <w:szCs w:val="22"/>
        </w:rPr>
        <w:t>Le retour d’expérience sur l’utilisation du guide, notamment en documentant les axes d’amélioration afin de garantir la pertinence du guide pour les utilisateurs futurs.</w:t>
      </w:r>
    </w:p>
    <w:p w:rsidR="00635EAD" w:rsidRDefault="00635EAD">
      <w:pPr>
        <w:jc w:val="both"/>
        <w:rPr>
          <w:sz w:val="22"/>
          <w:szCs w:val="22"/>
        </w:rPr>
      </w:pPr>
    </w:p>
    <w:p w:rsidR="00635EAD" w:rsidRDefault="00000000">
      <w:pPr>
        <w:rPr>
          <w:i/>
          <w:sz w:val="22"/>
          <w:szCs w:val="22"/>
        </w:rPr>
      </w:pPr>
      <w:r>
        <w:rPr>
          <w:i/>
          <w:sz w:val="22"/>
          <w:szCs w:val="22"/>
        </w:rPr>
        <w:t>Principales fonctions de la justice à explorer dans le Guide :</w:t>
      </w:r>
    </w:p>
    <w:p w:rsidR="00635EAD" w:rsidRDefault="00000000">
      <w:pPr>
        <w:numPr>
          <w:ilvl w:val="0"/>
          <w:numId w:val="4"/>
        </w:numPr>
        <w:pBdr>
          <w:top w:val="nil"/>
          <w:left w:val="nil"/>
          <w:bottom w:val="nil"/>
          <w:right w:val="nil"/>
          <w:between w:val="nil"/>
        </w:pBdr>
        <w:spacing w:before="280"/>
        <w:ind w:left="709"/>
        <w:rPr>
          <w:color w:val="000000"/>
          <w:sz w:val="22"/>
          <w:szCs w:val="22"/>
        </w:rPr>
      </w:pPr>
      <w:r>
        <w:rPr>
          <w:sz w:val="22"/>
          <w:szCs w:val="22"/>
        </w:rPr>
        <w:t>Cadre législatif</w:t>
      </w:r>
    </w:p>
    <w:p w:rsidR="00635EAD" w:rsidRDefault="00000000">
      <w:pPr>
        <w:numPr>
          <w:ilvl w:val="0"/>
          <w:numId w:val="4"/>
        </w:numPr>
        <w:pBdr>
          <w:top w:val="nil"/>
          <w:left w:val="nil"/>
          <w:bottom w:val="nil"/>
          <w:right w:val="nil"/>
          <w:between w:val="nil"/>
        </w:pBdr>
        <w:ind w:left="709"/>
        <w:rPr>
          <w:color w:val="000000"/>
          <w:sz w:val="22"/>
          <w:szCs w:val="22"/>
        </w:rPr>
      </w:pPr>
      <w:r>
        <w:rPr>
          <w:sz w:val="22"/>
          <w:szCs w:val="22"/>
        </w:rPr>
        <w:t>Accès à la justice et parcours des survivant(e)s</w:t>
      </w:r>
      <w:r>
        <w:rPr>
          <w:color w:val="000000"/>
          <w:sz w:val="22"/>
          <w:szCs w:val="22"/>
        </w:rPr>
        <w:t xml:space="preserve"> </w:t>
      </w:r>
    </w:p>
    <w:p w:rsidR="00635EAD" w:rsidRDefault="00000000">
      <w:pPr>
        <w:numPr>
          <w:ilvl w:val="0"/>
          <w:numId w:val="4"/>
        </w:numPr>
        <w:pBdr>
          <w:top w:val="nil"/>
          <w:left w:val="nil"/>
          <w:bottom w:val="nil"/>
          <w:right w:val="nil"/>
          <w:between w:val="nil"/>
        </w:pBdr>
        <w:ind w:left="709"/>
        <w:rPr>
          <w:color w:val="000000"/>
          <w:sz w:val="22"/>
          <w:szCs w:val="22"/>
        </w:rPr>
      </w:pPr>
      <w:r>
        <w:rPr>
          <w:sz w:val="22"/>
          <w:szCs w:val="22"/>
        </w:rPr>
        <w:t>Services d’assistance</w:t>
      </w:r>
      <w:r>
        <w:rPr>
          <w:color w:val="000000"/>
          <w:sz w:val="22"/>
          <w:szCs w:val="22"/>
        </w:rPr>
        <w:t xml:space="preserve"> aux survivant(e)s</w:t>
      </w:r>
    </w:p>
    <w:p w:rsidR="00635EAD" w:rsidRDefault="00000000">
      <w:pPr>
        <w:numPr>
          <w:ilvl w:val="0"/>
          <w:numId w:val="4"/>
        </w:numPr>
        <w:pBdr>
          <w:top w:val="nil"/>
          <w:left w:val="nil"/>
          <w:bottom w:val="nil"/>
          <w:right w:val="nil"/>
          <w:between w:val="nil"/>
        </w:pBdr>
        <w:ind w:left="709"/>
        <w:rPr>
          <w:color w:val="000000"/>
          <w:sz w:val="22"/>
          <w:szCs w:val="22"/>
        </w:rPr>
      </w:pPr>
      <w:r>
        <w:rPr>
          <w:color w:val="000000"/>
          <w:sz w:val="22"/>
          <w:szCs w:val="22"/>
        </w:rPr>
        <w:t>Enquêtes</w:t>
      </w:r>
    </w:p>
    <w:p w:rsidR="00635EAD" w:rsidRDefault="00000000">
      <w:pPr>
        <w:numPr>
          <w:ilvl w:val="0"/>
          <w:numId w:val="4"/>
        </w:numPr>
        <w:pBdr>
          <w:top w:val="nil"/>
          <w:left w:val="nil"/>
          <w:bottom w:val="nil"/>
          <w:right w:val="nil"/>
          <w:between w:val="nil"/>
        </w:pBdr>
        <w:ind w:left="709"/>
        <w:rPr>
          <w:color w:val="000000"/>
          <w:sz w:val="22"/>
          <w:szCs w:val="22"/>
        </w:rPr>
      </w:pPr>
      <w:r>
        <w:rPr>
          <w:sz w:val="22"/>
          <w:szCs w:val="22"/>
        </w:rPr>
        <w:t>Protection des témoins</w:t>
      </w:r>
    </w:p>
    <w:p w:rsidR="00635EAD" w:rsidRDefault="00000000">
      <w:pPr>
        <w:pBdr>
          <w:top w:val="nil"/>
          <w:left w:val="nil"/>
          <w:bottom w:val="nil"/>
          <w:right w:val="nil"/>
          <w:between w:val="nil"/>
        </w:pBdr>
        <w:ind w:left="360"/>
        <w:rPr>
          <w:color w:val="000000"/>
          <w:sz w:val="22"/>
          <w:szCs w:val="22"/>
        </w:rPr>
      </w:pPr>
      <w:r>
        <w:rPr>
          <w:color w:val="000000"/>
          <w:sz w:val="22"/>
          <w:szCs w:val="22"/>
        </w:rPr>
        <w:t>●</w:t>
      </w:r>
      <w:r>
        <w:rPr>
          <w:color w:val="000000"/>
          <w:sz w:val="22"/>
          <w:szCs w:val="22"/>
        </w:rPr>
        <w:tab/>
        <w:t>Services médicaux et médico-légaux</w:t>
      </w:r>
    </w:p>
    <w:p w:rsidR="00635EAD" w:rsidRDefault="00000000">
      <w:pPr>
        <w:pBdr>
          <w:top w:val="nil"/>
          <w:left w:val="nil"/>
          <w:bottom w:val="nil"/>
          <w:right w:val="nil"/>
          <w:between w:val="nil"/>
        </w:pBdr>
        <w:ind w:left="360"/>
        <w:rPr>
          <w:color w:val="000000"/>
          <w:sz w:val="22"/>
          <w:szCs w:val="22"/>
        </w:rPr>
      </w:pPr>
      <w:r>
        <w:rPr>
          <w:color w:val="000000"/>
          <w:sz w:val="22"/>
          <w:szCs w:val="22"/>
        </w:rPr>
        <w:t>●</w:t>
      </w:r>
      <w:r>
        <w:rPr>
          <w:color w:val="000000"/>
          <w:sz w:val="22"/>
          <w:szCs w:val="22"/>
        </w:rPr>
        <w:tab/>
        <w:t>Ministère public</w:t>
      </w:r>
    </w:p>
    <w:p w:rsidR="00635EAD" w:rsidRDefault="00000000">
      <w:pPr>
        <w:pBdr>
          <w:top w:val="nil"/>
          <w:left w:val="nil"/>
          <w:bottom w:val="nil"/>
          <w:right w:val="nil"/>
          <w:between w:val="nil"/>
        </w:pBdr>
        <w:ind w:left="360"/>
        <w:rPr>
          <w:color w:val="000000"/>
          <w:sz w:val="22"/>
          <w:szCs w:val="22"/>
        </w:rPr>
      </w:pPr>
      <w:r>
        <w:rPr>
          <w:color w:val="000000"/>
          <w:sz w:val="22"/>
          <w:szCs w:val="22"/>
        </w:rPr>
        <w:t>●</w:t>
      </w:r>
      <w:r>
        <w:rPr>
          <w:color w:val="000000"/>
          <w:sz w:val="22"/>
          <w:szCs w:val="22"/>
        </w:rPr>
        <w:tab/>
        <w:t>Défense</w:t>
      </w:r>
    </w:p>
    <w:p w:rsidR="00635EAD" w:rsidRDefault="00000000">
      <w:pPr>
        <w:pBdr>
          <w:top w:val="nil"/>
          <w:left w:val="nil"/>
          <w:bottom w:val="nil"/>
          <w:right w:val="nil"/>
          <w:between w:val="nil"/>
        </w:pBdr>
        <w:ind w:left="360"/>
        <w:rPr>
          <w:color w:val="000000"/>
          <w:sz w:val="22"/>
          <w:szCs w:val="22"/>
        </w:rPr>
      </w:pPr>
      <w:r>
        <w:rPr>
          <w:color w:val="000000"/>
          <w:sz w:val="22"/>
          <w:szCs w:val="22"/>
        </w:rPr>
        <w:t>●</w:t>
      </w:r>
      <w:r>
        <w:rPr>
          <w:color w:val="000000"/>
          <w:sz w:val="22"/>
          <w:szCs w:val="22"/>
        </w:rPr>
        <w:tab/>
        <w:t>Fonction judiciaire et services judiciaires</w:t>
      </w:r>
    </w:p>
    <w:p w:rsidR="00635EAD" w:rsidRDefault="00635EAD">
      <w:pPr>
        <w:pBdr>
          <w:top w:val="nil"/>
          <w:left w:val="nil"/>
          <w:bottom w:val="nil"/>
          <w:right w:val="nil"/>
          <w:between w:val="nil"/>
        </w:pBdr>
        <w:ind w:left="360"/>
        <w:rPr>
          <w:color w:val="000000"/>
          <w:sz w:val="22"/>
          <w:szCs w:val="22"/>
        </w:rPr>
      </w:pPr>
    </w:p>
    <w:p w:rsidR="00635EAD" w:rsidRDefault="00635EAD">
      <w:pPr>
        <w:pBdr>
          <w:top w:val="nil"/>
          <w:left w:val="nil"/>
          <w:bottom w:val="nil"/>
          <w:right w:val="nil"/>
          <w:between w:val="nil"/>
        </w:pBdr>
        <w:ind w:left="360"/>
        <w:rPr>
          <w:color w:val="000000"/>
          <w:sz w:val="22"/>
          <w:szCs w:val="22"/>
        </w:rPr>
      </w:pPr>
    </w:p>
    <w:p w:rsidR="00635EAD" w:rsidRDefault="00000000">
      <w:pPr>
        <w:pStyle w:val="Titre2"/>
      </w:pPr>
      <w:bookmarkStart w:id="4" w:name="_heading=h.2et92p0" w:colFirst="0" w:colLast="0"/>
      <w:bookmarkEnd w:id="4"/>
      <w:r>
        <w:t>1.3 MONTANT DES SUBVENTIONS</w:t>
      </w:r>
    </w:p>
    <w:p w:rsidR="00635EAD" w:rsidRDefault="00635EAD">
      <w:pPr>
        <w:pBdr>
          <w:top w:val="nil"/>
          <w:left w:val="nil"/>
          <w:bottom w:val="nil"/>
          <w:right w:val="nil"/>
          <w:between w:val="nil"/>
        </w:pBdr>
        <w:rPr>
          <w:color w:val="000000"/>
        </w:rPr>
      </w:pPr>
    </w:p>
    <w:p w:rsidR="00635EAD" w:rsidRDefault="00000000">
      <w:pPr>
        <w:pBdr>
          <w:top w:val="nil"/>
          <w:left w:val="nil"/>
          <w:bottom w:val="nil"/>
          <w:right w:val="nil"/>
          <w:between w:val="nil"/>
        </w:pBdr>
        <w:rPr>
          <w:color w:val="000000"/>
          <w:sz w:val="22"/>
          <w:szCs w:val="22"/>
        </w:rPr>
      </w:pPr>
      <w:r>
        <w:rPr>
          <w:sz w:val="22"/>
          <w:szCs w:val="22"/>
        </w:rPr>
        <w:t>Toute subvention demandée dans le cadre du présent appel à projets doit se situer entre les montants minimum et maximum suivants </w:t>
      </w:r>
      <w:r>
        <w:rPr>
          <w:color w:val="000000"/>
          <w:sz w:val="22"/>
          <w:szCs w:val="22"/>
        </w:rPr>
        <w:t xml:space="preserve">: </w:t>
      </w:r>
    </w:p>
    <w:p w:rsidR="00635EAD" w:rsidRDefault="00000000">
      <w:pPr>
        <w:numPr>
          <w:ilvl w:val="0"/>
          <w:numId w:val="5"/>
        </w:numPr>
        <w:pBdr>
          <w:top w:val="nil"/>
          <w:left w:val="nil"/>
          <w:bottom w:val="nil"/>
          <w:right w:val="nil"/>
          <w:between w:val="nil"/>
        </w:pBdr>
        <w:rPr>
          <w:color w:val="000000"/>
          <w:sz w:val="22"/>
          <w:szCs w:val="22"/>
        </w:rPr>
      </w:pPr>
      <w:r>
        <w:rPr>
          <w:sz w:val="22"/>
          <w:szCs w:val="22"/>
        </w:rPr>
        <w:t>Montant minimum : 75 000 EUR</w:t>
      </w:r>
      <w:r>
        <w:rPr>
          <w:color w:val="000000"/>
          <w:sz w:val="22"/>
          <w:szCs w:val="22"/>
        </w:rPr>
        <w:t xml:space="preserve"> </w:t>
      </w:r>
    </w:p>
    <w:p w:rsidR="00635EAD" w:rsidRDefault="00000000">
      <w:pPr>
        <w:numPr>
          <w:ilvl w:val="0"/>
          <w:numId w:val="5"/>
        </w:numPr>
        <w:pBdr>
          <w:top w:val="nil"/>
          <w:left w:val="nil"/>
          <w:bottom w:val="nil"/>
          <w:right w:val="nil"/>
          <w:between w:val="nil"/>
        </w:pBdr>
        <w:rPr>
          <w:color w:val="000000"/>
          <w:sz w:val="22"/>
          <w:szCs w:val="22"/>
        </w:rPr>
      </w:pPr>
      <w:r>
        <w:rPr>
          <w:sz w:val="22"/>
          <w:szCs w:val="22"/>
        </w:rPr>
        <w:t>Montant maximum : 180 000 EUR</w:t>
      </w:r>
    </w:p>
    <w:p w:rsidR="00635EAD" w:rsidRDefault="00000000">
      <w:pPr>
        <w:pStyle w:val="Titre1"/>
      </w:pPr>
      <w:bookmarkStart w:id="5" w:name="_heading=h.tyjcwt" w:colFirst="0" w:colLast="0"/>
      <w:bookmarkEnd w:id="5"/>
      <w:r>
        <w:t>2.</w:t>
      </w:r>
      <w:r>
        <w:rPr>
          <w:rFonts w:ascii="Times New Roman" w:eastAsia="Times New Roman" w:hAnsi="Times New Roman" w:cs="Times New Roman"/>
          <w:sz w:val="22"/>
          <w:szCs w:val="22"/>
        </w:rPr>
        <w:t xml:space="preserve"> </w:t>
      </w:r>
      <w:r>
        <w:t>RÈGLES APPLICABLES AU PRÉSENT APPEL À PROJETS</w:t>
      </w:r>
    </w:p>
    <w:p w:rsidR="00635EAD" w:rsidRDefault="00000000">
      <w:pPr>
        <w:pStyle w:val="Titre2"/>
      </w:pPr>
      <w:bookmarkStart w:id="6" w:name="_heading=h.3dy6vkm" w:colFirst="0" w:colLast="0"/>
      <w:bookmarkEnd w:id="6"/>
      <w:r>
        <w:t>2.1 CRITÈRES D'ÉLIGIBILITÉ</w:t>
      </w:r>
    </w:p>
    <w:p w:rsidR="00635EAD" w:rsidRDefault="00000000">
      <w:pPr>
        <w:pStyle w:val="Titre3"/>
      </w:pPr>
      <w:bookmarkStart w:id="7" w:name="_heading=h.1t3h5sf" w:colFirst="0" w:colLast="0"/>
      <w:bookmarkEnd w:id="7"/>
      <w:r>
        <w:t>2.1.1 Éligibilité des candidats</w:t>
      </w:r>
    </w:p>
    <w:p w:rsidR="00635EAD" w:rsidRDefault="00000000">
      <w:pPr>
        <w:pBdr>
          <w:top w:val="nil"/>
          <w:left w:val="nil"/>
          <w:bottom w:val="nil"/>
          <w:right w:val="nil"/>
          <w:between w:val="nil"/>
        </w:pBdr>
        <w:rPr>
          <w:color w:val="000000"/>
          <w:sz w:val="22"/>
          <w:szCs w:val="22"/>
        </w:rPr>
      </w:pPr>
      <w:r>
        <w:rPr>
          <w:sz w:val="22"/>
          <w:szCs w:val="22"/>
        </w:rPr>
        <w:t>Afin d’être éligible à une subvention, le demandeur doit </w:t>
      </w:r>
      <w:r>
        <w:rPr>
          <w:color w:val="000000"/>
          <w:sz w:val="22"/>
          <w:szCs w:val="22"/>
        </w:rPr>
        <w:t>:</w:t>
      </w:r>
    </w:p>
    <w:p w:rsidR="00635EAD" w:rsidRDefault="00000000">
      <w:pPr>
        <w:numPr>
          <w:ilvl w:val="0"/>
          <w:numId w:val="6"/>
        </w:numPr>
        <w:pBdr>
          <w:top w:val="nil"/>
          <w:left w:val="nil"/>
          <w:bottom w:val="nil"/>
          <w:right w:val="nil"/>
          <w:between w:val="nil"/>
        </w:pBdr>
        <w:rPr>
          <w:color w:val="000000"/>
          <w:sz w:val="22"/>
          <w:szCs w:val="22"/>
        </w:rPr>
      </w:pPr>
      <w:r>
        <w:rPr>
          <w:sz w:val="22"/>
          <w:szCs w:val="22"/>
        </w:rPr>
        <w:t>Être une personne morale ET</w:t>
      </w:r>
    </w:p>
    <w:p w:rsidR="00635EAD" w:rsidRDefault="00000000">
      <w:pPr>
        <w:numPr>
          <w:ilvl w:val="0"/>
          <w:numId w:val="6"/>
        </w:numPr>
        <w:pBdr>
          <w:top w:val="nil"/>
          <w:left w:val="nil"/>
          <w:bottom w:val="nil"/>
          <w:right w:val="nil"/>
          <w:between w:val="nil"/>
        </w:pBdr>
        <w:rPr>
          <w:color w:val="000000"/>
          <w:sz w:val="22"/>
          <w:szCs w:val="22"/>
        </w:rPr>
      </w:pPr>
      <w:r>
        <w:rPr>
          <w:sz w:val="22"/>
          <w:szCs w:val="22"/>
        </w:rPr>
        <w:t>Avoir un but non lucratif ET</w:t>
      </w:r>
    </w:p>
    <w:p w:rsidR="00635EAD" w:rsidRDefault="00000000">
      <w:pPr>
        <w:numPr>
          <w:ilvl w:val="0"/>
          <w:numId w:val="6"/>
        </w:numPr>
        <w:pBdr>
          <w:top w:val="nil"/>
          <w:left w:val="nil"/>
          <w:bottom w:val="nil"/>
          <w:right w:val="nil"/>
          <w:between w:val="nil"/>
        </w:pBdr>
        <w:rPr>
          <w:color w:val="000000"/>
          <w:sz w:val="22"/>
          <w:szCs w:val="22"/>
        </w:rPr>
      </w:pPr>
      <w:r>
        <w:rPr>
          <w:sz w:val="22"/>
          <w:szCs w:val="22"/>
        </w:rPr>
        <w:t>Être une organisation non gouvernementale (par exemple, organisation de défense des droits humains, réseaux de survivant(e)s, organisations de femmes)</w:t>
      </w:r>
      <w:r>
        <w:rPr>
          <w:color w:val="000000"/>
          <w:sz w:val="22"/>
          <w:szCs w:val="22"/>
        </w:rPr>
        <w:t xml:space="preserve"> </w:t>
      </w:r>
    </w:p>
    <w:p w:rsidR="00635EAD" w:rsidRDefault="00000000">
      <w:pPr>
        <w:numPr>
          <w:ilvl w:val="0"/>
          <w:numId w:val="6"/>
        </w:numPr>
        <w:pBdr>
          <w:top w:val="nil"/>
          <w:left w:val="nil"/>
          <w:bottom w:val="nil"/>
          <w:right w:val="nil"/>
          <w:between w:val="nil"/>
        </w:pBdr>
        <w:rPr>
          <w:color w:val="000000"/>
          <w:sz w:val="22"/>
          <w:szCs w:val="22"/>
        </w:rPr>
      </w:pPr>
      <w:r>
        <w:rPr>
          <w:sz w:val="22"/>
          <w:szCs w:val="22"/>
        </w:rPr>
        <w:t>Être établi dans l'un des 10 pays énumérés ci-dessous</w:t>
      </w:r>
    </w:p>
    <w:p w:rsidR="00635EAD" w:rsidRDefault="00635EAD">
      <w:pPr>
        <w:pBdr>
          <w:top w:val="nil"/>
          <w:left w:val="nil"/>
          <w:bottom w:val="nil"/>
          <w:right w:val="nil"/>
          <w:between w:val="nil"/>
        </w:pBdr>
        <w:rPr>
          <w:color w:val="000000"/>
          <w:sz w:val="22"/>
          <w:szCs w:val="22"/>
        </w:rPr>
      </w:pPr>
    </w:p>
    <w:p w:rsidR="00635EAD" w:rsidRDefault="00000000">
      <w:pPr>
        <w:pBdr>
          <w:top w:val="nil"/>
          <w:left w:val="nil"/>
          <w:bottom w:val="nil"/>
          <w:right w:val="nil"/>
          <w:between w:val="nil"/>
        </w:pBdr>
        <w:rPr>
          <w:color w:val="000000"/>
          <w:sz w:val="22"/>
          <w:szCs w:val="22"/>
        </w:rPr>
      </w:pPr>
      <w:r>
        <w:rPr>
          <w:sz w:val="22"/>
          <w:szCs w:val="22"/>
        </w:rPr>
        <w:t xml:space="preserve">Pour le présent appel à projets 2025, </w:t>
      </w:r>
      <w:r>
        <w:rPr>
          <w:b/>
          <w:sz w:val="22"/>
          <w:szCs w:val="22"/>
        </w:rPr>
        <w:t>l'initiative Stigmatisation dans le domaine de la justice</w:t>
      </w:r>
      <w:r>
        <w:rPr>
          <w:sz w:val="22"/>
          <w:szCs w:val="22"/>
        </w:rPr>
        <w:t xml:space="preserve"> couvre 10 pays </w:t>
      </w:r>
      <w:r>
        <w:rPr>
          <w:color w:val="000000"/>
          <w:sz w:val="22"/>
          <w:szCs w:val="22"/>
        </w:rPr>
        <w:t xml:space="preserve">: </w:t>
      </w:r>
    </w:p>
    <w:tbl>
      <w:tblPr>
        <w:tblStyle w:val="a3"/>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4528"/>
      </w:tblGrid>
      <w:tr w:rsidR="00635EAD">
        <w:tc>
          <w:tcPr>
            <w:tcW w:w="4528" w:type="dxa"/>
          </w:tcPr>
          <w:p w:rsidR="00635EAD" w:rsidRDefault="00635EAD">
            <w:pPr>
              <w:pBdr>
                <w:top w:val="nil"/>
                <w:left w:val="nil"/>
                <w:bottom w:val="nil"/>
                <w:right w:val="nil"/>
                <w:between w:val="nil"/>
              </w:pBdr>
              <w:ind w:left="720"/>
              <w:rPr>
                <w:color w:val="000000"/>
                <w:sz w:val="22"/>
                <w:szCs w:val="22"/>
              </w:rPr>
            </w:pPr>
          </w:p>
          <w:p w:rsidR="00635EAD" w:rsidRDefault="00000000">
            <w:pPr>
              <w:numPr>
                <w:ilvl w:val="0"/>
                <w:numId w:val="2"/>
              </w:numPr>
              <w:pBdr>
                <w:top w:val="nil"/>
                <w:left w:val="nil"/>
                <w:bottom w:val="nil"/>
                <w:right w:val="nil"/>
                <w:between w:val="nil"/>
              </w:pBdr>
              <w:rPr>
                <w:color w:val="000000"/>
                <w:sz w:val="22"/>
                <w:szCs w:val="22"/>
              </w:rPr>
            </w:pPr>
            <w:r>
              <w:rPr>
                <w:color w:val="000000"/>
                <w:sz w:val="22"/>
                <w:szCs w:val="22"/>
              </w:rPr>
              <w:t>Cameroun</w:t>
            </w:r>
          </w:p>
          <w:p w:rsidR="00635EAD" w:rsidRDefault="00000000">
            <w:pPr>
              <w:numPr>
                <w:ilvl w:val="0"/>
                <w:numId w:val="2"/>
              </w:numPr>
              <w:pBdr>
                <w:top w:val="nil"/>
                <w:left w:val="nil"/>
                <w:bottom w:val="nil"/>
                <w:right w:val="nil"/>
                <w:between w:val="nil"/>
              </w:pBdr>
              <w:rPr>
                <w:color w:val="000000"/>
                <w:sz w:val="22"/>
                <w:szCs w:val="22"/>
              </w:rPr>
            </w:pPr>
            <w:r>
              <w:rPr>
                <w:color w:val="000000"/>
                <w:sz w:val="22"/>
                <w:szCs w:val="22"/>
              </w:rPr>
              <w:t>République centrafricaine (RCA)</w:t>
            </w:r>
          </w:p>
          <w:p w:rsidR="00635EAD" w:rsidRDefault="00000000">
            <w:pPr>
              <w:numPr>
                <w:ilvl w:val="0"/>
                <w:numId w:val="2"/>
              </w:numPr>
              <w:pBdr>
                <w:top w:val="nil"/>
                <w:left w:val="nil"/>
                <w:bottom w:val="nil"/>
                <w:right w:val="nil"/>
                <w:between w:val="nil"/>
              </w:pBdr>
              <w:rPr>
                <w:color w:val="000000"/>
                <w:sz w:val="22"/>
                <w:szCs w:val="22"/>
              </w:rPr>
            </w:pPr>
            <w:r>
              <w:rPr>
                <w:color w:val="000000"/>
                <w:sz w:val="22"/>
                <w:szCs w:val="22"/>
              </w:rPr>
              <w:t>Colombie</w:t>
            </w:r>
          </w:p>
          <w:p w:rsidR="00635EAD" w:rsidRDefault="00000000">
            <w:pPr>
              <w:numPr>
                <w:ilvl w:val="0"/>
                <w:numId w:val="2"/>
              </w:numPr>
              <w:pBdr>
                <w:top w:val="nil"/>
                <w:left w:val="nil"/>
                <w:bottom w:val="nil"/>
                <w:right w:val="nil"/>
                <w:between w:val="nil"/>
              </w:pBdr>
              <w:rPr>
                <w:color w:val="000000"/>
                <w:sz w:val="22"/>
                <w:szCs w:val="22"/>
              </w:rPr>
            </w:pPr>
            <w:r>
              <w:rPr>
                <w:color w:val="000000"/>
                <w:sz w:val="22"/>
                <w:szCs w:val="22"/>
              </w:rPr>
              <w:t>Ethiopie</w:t>
            </w:r>
          </w:p>
          <w:p w:rsidR="00635EAD" w:rsidRDefault="00000000">
            <w:pPr>
              <w:numPr>
                <w:ilvl w:val="0"/>
                <w:numId w:val="2"/>
              </w:numPr>
              <w:pBdr>
                <w:top w:val="nil"/>
                <w:left w:val="nil"/>
                <w:bottom w:val="nil"/>
                <w:right w:val="nil"/>
                <w:between w:val="nil"/>
              </w:pBdr>
              <w:rPr>
                <w:color w:val="000000"/>
                <w:sz w:val="22"/>
                <w:szCs w:val="22"/>
              </w:rPr>
            </w:pPr>
            <w:r>
              <w:rPr>
                <w:color w:val="000000"/>
                <w:sz w:val="22"/>
                <w:szCs w:val="22"/>
              </w:rPr>
              <w:t>Gambie</w:t>
            </w:r>
          </w:p>
          <w:p w:rsidR="00635EAD" w:rsidRDefault="00635EAD">
            <w:pPr>
              <w:pBdr>
                <w:top w:val="nil"/>
                <w:left w:val="nil"/>
                <w:bottom w:val="nil"/>
                <w:right w:val="nil"/>
                <w:between w:val="nil"/>
              </w:pBdr>
              <w:ind w:left="720"/>
              <w:rPr>
                <w:color w:val="000000"/>
              </w:rPr>
            </w:pPr>
          </w:p>
        </w:tc>
        <w:tc>
          <w:tcPr>
            <w:tcW w:w="4528" w:type="dxa"/>
          </w:tcPr>
          <w:p w:rsidR="00635EAD" w:rsidRDefault="00635EAD">
            <w:pPr>
              <w:rPr>
                <w:highlight w:val="yellow"/>
              </w:rPr>
            </w:pPr>
          </w:p>
          <w:p w:rsidR="00635EAD" w:rsidRDefault="00000000">
            <w:pPr>
              <w:numPr>
                <w:ilvl w:val="0"/>
                <w:numId w:val="11"/>
              </w:numPr>
              <w:pBdr>
                <w:top w:val="nil"/>
                <w:left w:val="nil"/>
                <w:bottom w:val="nil"/>
                <w:right w:val="nil"/>
                <w:between w:val="nil"/>
              </w:pBdr>
              <w:rPr>
                <w:color w:val="000000"/>
                <w:sz w:val="22"/>
                <w:szCs w:val="22"/>
              </w:rPr>
            </w:pPr>
            <w:r>
              <w:rPr>
                <w:sz w:val="22"/>
                <w:szCs w:val="22"/>
              </w:rPr>
              <w:t>Israël, Cisjordanie et Gaza</w:t>
            </w:r>
          </w:p>
          <w:p w:rsidR="00635EAD" w:rsidRDefault="00000000">
            <w:pPr>
              <w:numPr>
                <w:ilvl w:val="0"/>
                <w:numId w:val="11"/>
              </w:numPr>
              <w:pBdr>
                <w:top w:val="nil"/>
                <w:left w:val="nil"/>
                <w:bottom w:val="nil"/>
                <w:right w:val="nil"/>
                <w:between w:val="nil"/>
              </w:pBdr>
              <w:rPr>
                <w:color w:val="000000"/>
                <w:sz w:val="22"/>
                <w:szCs w:val="22"/>
              </w:rPr>
            </w:pPr>
            <w:r>
              <w:rPr>
                <w:sz w:val="22"/>
                <w:szCs w:val="22"/>
              </w:rPr>
              <w:t>Mozambique</w:t>
            </w:r>
          </w:p>
          <w:p w:rsidR="00635EAD" w:rsidRDefault="00000000">
            <w:pPr>
              <w:numPr>
                <w:ilvl w:val="0"/>
                <w:numId w:val="11"/>
              </w:numPr>
              <w:pBdr>
                <w:top w:val="nil"/>
                <w:left w:val="nil"/>
                <w:bottom w:val="nil"/>
                <w:right w:val="nil"/>
                <w:between w:val="nil"/>
              </w:pBdr>
              <w:rPr>
                <w:color w:val="000000"/>
                <w:sz w:val="22"/>
                <w:szCs w:val="22"/>
              </w:rPr>
            </w:pPr>
            <w:r>
              <w:rPr>
                <w:color w:val="000000"/>
                <w:sz w:val="22"/>
                <w:szCs w:val="22"/>
              </w:rPr>
              <w:t>Ouganda</w:t>
            </w:r>
          </w:p>
          <w:p w:rsidR="00635EAD" w:rsidRDefault="00000000">
            <w:pPr>
              <w:numPr>
                <w:ilvl w:val="0"/>
                <w:numId w:val="11"/>
              </w:numPr>
              <w:pBdr>
                <w:top w:val="nil"/>
                <w:left w:val="nil"/>
                <w:bottom w:val="nil"/>
                <w:right w:val="nil"/>
                <w:between w:val="nil"/>
              </w:pBdr>
              <w:rPr>
                <w:color w:val="000000"/>
                <w:sz w:val="22"/>
                <w:szCs w:val="22"/>
              </w:rPr>
            </w:pPr>
            <w:r>
              <w:rPr>
                <w:color w:val="000000"/>
                <w:sz w:val="22"/>
                <w:szCs w:val="22"/>
              </w:rPr>
              <w:t>Sri Lanka</w:t>
            </w:r>
          </w:p>
          <w:p w:rsidR="00635EAD" w:rsidRDefault="00000000">
            <w:pPr>
              <w:numPr>
                <w:ilvl w:val="0"/>
                <w:numId w:val="11"/>
              </w:numPr>
              <w:pBdr>
                <w:top w:val="nil"/>
                <w:left w:val="nil"/>
                <w:bottom w:val="nil"/>
                <w:right w:val="nil"/>
                <w:between w:val="nil"/>
              </w:pBdr>
              <w:rPr>
                <w:color w:val="000000"/>
                <w:sz w:val="22"/>
                <w:szCs w:val="22"/>
              </w:rPr>
            </w:pPr>
            <w:r>
              <w:rPr>
                <w:color w:val="000000"/>
                <w:sz w:val="22"/>
                <w:szCs w:val="22"/>
              </w:rPr>
              <w:t>Ukraine</w:t>
            </w:r>
          </w:p>
          <w:p w:rsidR="00635EAD" w:rsidRDefault="00635EAD">
            <w:pPr>
              <w:spacing w:after="240"/>
            </w:pPr>
          </w:p>
        </w:tc>
      </w:tr>
    </w:tbl>
    <w:p w:rsidR="00635EAD" w:rsidRDefault="00635EAD"/>
    <w:p w:rsidR="00635EAD" w:rsidRDefault="00000000">
      <w:pPr>
        <w:pStyle w:val="Titre3"/>
      </w:pPr>
      <w:bookmarkStart w:id="8" w:name="_heading=h.4d34og8" w:colFirst="0" w:colLast="0"/>
      <w:bookmarkEnd w:id="8"/>
      <w:r>
        <w:t>2.1.2 Objectifs et activités éligibles</w:t>
      </w:r>
    </w:p>
    <w:p w:rsidR="00635EAD" w:rsidRDefault="00000000">
      <w:pPr>
        <w:rPr>
          <w:b/>
          <w:sz w:val="22"/>
          <w:szCs w:val="22"/>
        </w:rPr>
      </w:pPr>
      <w:r>
        <w:rPr>
          <w:sz w:val="22"/>
          <w:szCs w:val="22"/>
        </w:rPr>
        <w:t xml:space="preserve">Après avoir sélectionné la ou les fonctions judiciaires du guide qu'ils souhaitent évaluer, les candidats doivent proposer des activités qui contribueront à atteindre l'objectif suivant : </w:t>
      </w:r>
      <w:r>
        <w:rPr>
          <w:b/>
          <w:sz w:val="22"/>
          <w:szCs w:val="22"/>
        </w:rPr>
        <w:t xml:space="preserve">« Accroître la reconnaissance par les institutions et les acteurs de la justice de la manière dont la stigmatisation, les mythes et les préjugés sur les violences sexuelles liées aux conflits affectent le déroulé judiciaire de ces affaires » . </w:t>
      </w:r>
    </w:p>
    <w:p w:rsidR="00635EAD" w:rsidRDefault="00635EAD">
      <w:pPr>
        <w:rPr>
          <w:sz w:val="22"/>
          <w:szCs w:val="22"/>
        </w:rPr>
      </w:pPr>
    </w:p>
    <w:p w:rsidR="00635EAD" w:rsidRDefault="00000000">
      <w:pPr>
        <w:rPr>
          <w:sz w:val="22"/>
          <w:szCs w:val="22"/>
        </w:rPr>
      </w:pPr>
      <w:r>
        <w:rPr>
          <w:sz w:val="22"/>
          <w:szCs w:val="22"/>
        </w:rPr>
        <w:t>Chaque projet débutera par une phase de collecte de données afin d’évaluer la fonction judiciaire sélectionnée dans le guide.</w:t>
      </w:r>
    </w:p>
    <w:p w:rsidR="00635EAD" w:rsidRDefault="00635EAD">
      <w:pPr>
        <w:rPr>
          <w:sz w:val="22"/>
          <w:szCs w:val="22"/>
        </w:rPr>
      </w:pPr>
    </w:p>
    <w:p w:rsidR="00635EAD" w:rsidRDefault="00000000">
      <w:pPr>
        <w:pBdr>
          <w:top w:val="nil"/>
          <w:left w:val="nil"/>
          <w:bottom w:val="nil"/>
          <w:right w:val="nil"/>
          <w:between w:val="nil"/>
        </w:pBdr>
        <w:jc w:val="both"/>
        <w:rPr>
          <w:color w:val="000000"/>
          <w:sz w:val="22"/>
          <w:szCs w:val="22"/>
        </w:rPr>
      </w:pPr>
      <w:r>
        <w:rPr>
          <w:sz w:val="22"/>
          <w:szCs w:val="22"/>
        </w:rPr>
        <w:t>La liste des activités ci-dessous est donnée à titre informatif et les candidats sont encouragés à proposer des activités adaptées à leurs besoins et contextes spécifiques</w:t>
      </w:r>
      <w:r>
        <w:rPr>
          <w:color w:val="000000"/>
          <w:sz w:val="22"/>
          <w:szCs w:val="22"/>
        </w:rPr>
        <w:t>.</w:t>
      </w:r>
    </w:p>
    <w:p w:rsidR="00635EAD" w:rsidRDefault="00000000">
      <w:pPr>
        <w:pBdr>
          <w:top w:val="nil"/>
          <w:left w:val="nil"/>
          <w:bottom w:val="nil"/>
          <w:right w:val="nil"/>
          <w:between w:val="nil"/>
        </w:pBdr>
        <w:rPr>
          <w:color w:val="000000"/>
        </w:rPr>
      </w:pPr>
      <w:r>
        <w:rPr>
          <w:color w:val="000000"/>
          <w:sz w:val="22"/>
          <w:szCs w:val="22"/>
        </w:rPr>
        <w:br/>
      </w:r>
      <w:r>
        <w:rPr>
          <w:b/>
          <w:color w:val="000000"/>
          <w:sz w:val="22"/>
          <w:szCs w:val="22"/>
        </w:rPr>
        <w:t>Activités potentielles :</w:t>
      </w:r>
    </w:p>
    <w:p w:rsidR="00635EAD" w:rsidRDefault="00000000">
      <w:pPr>
        <w:numPr>
          <w:ilvl w:val="0"/>
          <w:numId w:val="8"/>
        </w:numPr>
        <w:spacing w:before="280"/>
        <w:jc w:val="both"/>
        <w:rPr>
          <w:color w:val="000000"/>
          <w:sz w:val="22"/>
          <w:szCs w:val="22"/>
        </w:rPr>
      </w:pPr>
      <w:r>
        <w:rPr>
          <w:sz w:val="22"/>
          <w:szCs w:val="22"/>
        </w:rPr>
        <w:t xml:space="preserve">Animer des groupes de discussion ou organiser des entretiens avec des informateurs clés afin de recueillir des données qualitatives sur les expériences des survivant(e)s au sein du système </w:t>
      </w:r>
      <w:r>
        <w:rPr>
          <w:sz w:val="22"/>
          <w:szCs w:val="22"/>
        </w:rPr>
        <w:lastRenderedPageBreak/>
        <w:t>judiciaire (vous pouvez choisir parmi les fonctions clés de la justice ci-dessus), en identifiant les lacunes spécifiques et les axes d’amélioration</w:t>
      </w:r>
      <w:r>
        <w:rPr>
          <w:color w:val="000000"/>
          <w:sz w:val="22"/>
          <w:szCs w:val="22"/>
        </w:rPr>
        <w:t>.</w:t>
      </w:r>
    </w:p>
    <w:p w:rsidR="00635EAD" w:rsidRDefault="00000000">
      <w:pPr>
        <w:numPr>
          <w:ilvl w:val="0"/>
          <w:numId w:val="8"/>
        </w:numPr>
        <w:jc w:val="both"/>
        <w:rPr>
          <w:color w:val="000000"/>
          <w:sz w:val="22"/>
          <w:szCs w:val="22"/>
        </w:rPr>
      </w:pPr>
      <w:r>
        <w:rPr>
          <w:sz w:val="22"/>
          <w:szCs w:val="22"/>
        </w:rPr>
        <w:t>Concevoir et mettre en œuvre des sondages ou des entrevues structurées afin de recueillir des données quantitatives et qualitatives sur la stigmatisation existante au sein du processus de justice, en se concentrant sur les fonctions clés de la justice mentionnées dans le guide</w:t>
      </w:r>
      <w:r>
        <w:rPr>
          <w:color w:val="000000"/>
          <w:sz w:val="22"/>
          <w:szCs w:val="22"/>
        </w:rPr>
        <w:t>.</w:t>
      </w:r>
    </w:p>
    <w:p w:rsidR="00635EAD" w:rsidRDefault="00000000">
      <w:pPr>
        <w:numPr>
          <w:ilvl w:val="0"/>
          <w:numId w:val="8"/>
        </w:numPr>
        <w:jc w:val="both"/>
        <w:rPr>
          <w:color w:val="000000"/>
          <w:sz w:val="22"/>
          <w:szCs w:val="22"/>
        </w:rPr>
      </w:pPr>
      <w:r>
        <w:rPr>
          <w:sz w:val="22"/>
          <w:szCs w:val="22"/>
        </w:rPr>
        <w:t>Organiser et mener des activités visant à sensibiliser les institutions et les acteurs de la justice à la stigmatisation existante au sein du système judiciaire</w:t>
      </w:r>
      <w:r>
        <w:rPr>
          <w:color w:val="000000"/>
          <w:sz w:val="22"/>
          <w:szCs w:val="22"/>
        </w:rPr>
        <w:t>.</w:t>
      </w:r>
    </w:p>
    <w:p w:rsidR="00635EAD" w:rsidRDefault="00000000">
      <w:pPr>
        <w:numPr>
          <w:ilvl w:val="0"/>
          <w:numId w:val="8"/>
        </w:numPr>
        <w:jc w:val="both"/>
        <w:rPr>
          <w:color w:val="000000"/>
          <w:sz w:val="22"/>
          <w:szCs w:val="22"/>
        </w:rPr>
      </w:pPr>
      <w:r>
        <w:rPr>
          <w:sz w:val="22"/>
          <w:szCs w:val="22"/>
        </w:rPr>
        <w:t>Assurer le suivi des procès afin d'observer la manière dont la stigmatisation affecte les processus de justice et les décisions pour les survivant(e)s, et produire des rapports incluant des conclusions et recommandations</w:t>
      </w:r>
      <w:r>
        <w:rPr>
          <w:color w:val="000000"/>
          <w:sz w:val="22"/>
          <w:szCs w:val="22"/>
        </w:rPr>
        <w:t>.</w:t>
      </w:r>
    </w:p>
    <w:p w:rsidR="00635EAD" w:rsidRDefault="00000000">
      <w:pPr>
        <w:numPr>
          <w:ilvl w:val="0"/>
          <w:numId w:val="8"/>
        </w:numPr>
        <w:jc w:val="both"/>
        <w:rPr>
          <w:color w:val="000000"/>
          <w:sz w:val="22"/>
          <w:szCs w:val="22"/>
        </w:rPr>
      </w:pPr>
      <w:r>
        <w:rPr>
          <w:sz w:val="22"/>
          <w:szCs w:val="22"/>
        </w:rPr>
        <w:t>Compiler les données d'évaluation et les conclusions dans des notes de synthèse, des études de cas, des articles ou des rapports de plaidoyer fondés sur des preuves et les diffuser auprès des principaux intéressés, tels que les agences gouvernementales et les institutions juridiques, afin de plaider en faveur de l'amélioration des décisions et processus de justice pour les survivants de violences sexuelles liées aux conflits.</w:t>
      </w:r>
    </w:p>
    <w:p w:rsidR="00635EAD" w:rsidRDefault="00000000">
      <w:pPr>
        <w:numPr>
          <w:ilvl w:val="0"/>
          <w:numId w:val="8"/>
        </w:numPr>
        <w:jc w:val="both"/>
        <w:rPr>
          <w:color w:val="000000"/>
          <w:sz w:val="22"/>
          <w:szCs w:val="22"/>
        </w:rPr>
      </w:pPr>
      <w:r>
        <w:rPr>
          <w:sz w:val="22"/>
          <w:szCs w:val="22"/>
        </w:rPr>
        <w:t>Participer à des événements, des webinaires, des commissions ou des congrès au niveau national, régional ou international et présenter ses conclusions et recommandations</w:t>
      </w:r>
      <w:r>
        <w:rPr>
          <w:color w:val="000000"/>
          <w:sz w:val="22"/>
          <w:szCs w:val="22"/>
        </w:rPr>
        <w:t xml:space="preserve"> visant à une meilleur prise en compte de la notion de stigma dans les affaires de VSLC .</w:t>
      </w:r>
    </w:p>
    <w:p w:rsidR="00635EAD" w:rsidRDefault="00000000">
      <w:pPr>
        <w:numPr>
          <w:ilvl w:val="0"/>
          <w:numId w:val="8"/>
        </w:numPr>
        <w:ind w:left="714" w:hanging="357"/>
        <w:jc w:val="both"/>
        <w:rPr>
          <w:color w:val="000000"/>
          <w:sz w:val="22"/>
          <w:szCs w:val="22"/>
        </w:rPr>
      </w:pPr>
      <w:r>
        <w:rPr>
          <w:sz w:val="22"/>
          <w:szCs w:val="22"/>
        </w:rPr>
        <w:t>Organiser des conférences de presse ou encourager les médias à partager les témoignages et les principales conclusions du projet, en sensibilisant le public et en favorisant le dialogue autour de la stigmatisation existante dans le système judiciaire</w:t>
      </w:r>
      <w:r>
        <w:rPr>
          <w:color w:val="000000"/>
          <w:sz w:val="22"/>
          <w:szCs w:val="22"/>
        </w:rPr>
        <w:t>.</w:t>
      </w:r>
    </w:p>
    <w:p w:rsidR="00635EAD" w:rsidRDefault="00000000">
      <w:pPr>
        <w:numPr>
          <w:ilvl w:val="0"/>
          <w:numId w:val="8"/>
        </w:numPr>
        <w:ind w:left="714" w:hanging="357"/>
        <w:jc w:val="both"/>
        <w:rPr>
          <w:color w:val="000000"/>
          <w:sz w:val="22"/>
          <w:szCs w:val="22"/>
        </w:rPr>
      </w:pPr>
      <w:r>
        <w:rPr>
          <w:sz w:val="22"/>
          <w:szCs w:val="22"/>
        </w:rPr>
        <w:t xml:space="preserve">Effectuer des missions sur le terrain pour identifier les principaux intéressés et les survivant(e)s, </w:t>
      </w:r>
    </w:p>
    <w:p w:rsidR="00635EAD" w:rsidRDefault="00000000">
      <w:pPr>
        <w:numPr>
          <w:ilvl w:val="0"/>
          <w:numId w:val="9"/>
        </w:numPr>
        <w:jc w:val="both"/>
        <w:rPr>
          <w:color w:val="000000"/>
          <w:sz w:val="22"/>
          <w:szCs w:val="22"/>
        </w:rPr>
      </w:pPr>
      <w:r>
        <w:rPr>
          <w:sz w:val="22"/>
          <w:szCs w:val="22"/>
        </w:rPr>
        <w:t>Former les réseaux de survivant(e)s et les OSC sur la manière d'utiliser efficacement le guide sur la stigmatisation des violences sexuelles liées aux conflits en insistant sur l'évaluation de la stigmatisation et la mise en œuvre des recommandations du guide dans leurs contextes spécifiques</w:t>
      </w:r>
      <w:r>
        <w:rPr>
          <w:color w:val="000000"/>
          <w:sz w:val="22"/>
          <w:szCs w:val="22"/>
        </w:rPr>
        <w:t>.</w:t>
      </w:r>
    </w:p>
    <w:p w:rsidR="00635EAD" w:rsidRDefault="00000000">
      <w:pPr>
        <w:numPr>
          <w:ilvl w:val="0"/>
          <w:numId w:val="9"/>
        </w:numPr>
        <w:jc w:val="both"/>
        <w:rPr>
          <w:color w:val="000000"/>
          <w:sz w:val="22"/>
          <w:szCs w:val="22"/>
        </w:rPr>
      </w:pPr>
      <w:r>
        <w:rPr>
          <w:sz w:val="22"/>
          <w:szCs w:val="22"/>
        </w:rPr>
        <w:t>Mener des campagnes de plaidoyer et élaborer des documents de plaidoyer sur la base des résultats d’évaluation du guide afin de sensibiliser à la stigmatisation dans le système judiciaire et de promouvoir les réformes politiques nécessaires. De telles activités peuvent inclure la présentation des résultats lors de conférences ou lors de sessions de divers organes régionaux/internationaux de défense des droits de l'Homme (par exemple, CDH, CAT ou CEDAW</w:t>
      </w:r>
      <w:r>
        <w:rPr>
          <w:color w:val="000000"/>
          <w:sz w:val="22"/>
          <w:szCs w:val="22"/>
        </w:rPr>
        <w:t>).</w:t>
      </w:r>
    </w:p>
    <w:p w:rsidR="00635EAD" w:rsidRDefault="00000000">
      <w:pPr>
        <w:numPr>
          <w:ilvl w:val="0"/>
          <w:numId w:val="9"/>
        </w:numPr>
        <w:jc w:val="both"/>
        <w:rPr>
          <w:color w:val="000000"/>
          <w:sz w:val="22"/>
          <w:szCs w:val="22"/>
        </w:rPr>
      </w:pPr>
      <w:r>
        <w:rPr>
          <w:sz w:val="22"/>
          <w:szCs w:val="22"/>
        </w:rPr>
        <w:t>Mettre en place des mécanismes de retour d'information, tels que des sondages ou des boîtes à idées, afin de permettre aux survivant(e)s de partager leurs expériences du système judiciaire et de fournir des informations sur l'applicabilité et la pertinence du guide en matière de lutte contre la stigmatisation</w:t>
      </w:r>
      <w:r>
        <w:rPr>
          <w:color w:val="000000"/>
          <w:sz w:val="22"/>
          <w:szCs w:val="22"/>
        </w:rPr>
        <w:t>.</w:t>
      </w:r>
    </w:p>
    <w:p w:rsidR="00635EAD" w:rsidRDefault="00000000">
      <w:pPr>
        <w:numPr>
          <w:ilvl w:val="0"/>
          <w:numId w:val="9"/>
        </w:numPr>
        <w:spacing w:after="280"/>
        <w:jc w:val="both"/>
        <w:rPr>
          <w:color w:val="000000"/>
          <w:sz w:val="22"/>
          <w:szCs w:val="22"/>
        </w:rPr>
      </w:pPr>
      <w:r>
        <w:rPr>
          <w:sz w:val="22"/>
          <w:szCs w:val="22"/>
        </w:rPr>
        <w:t>Soutenir les initiatives favorisant l'inclusion des survivant(e)s dans les activités de plaidoyer et de renforcement des capacités</w:t>
      </w:r>
      <w:r>
        <w:rPr>
          <w:color w:val="000000"/>
          <w:sz w:val="22"/>
          <w:szCs w:val="22"/>
        </w:rPr>
        <w:t>.</w:t>
      </w:r>
    </w:p>
    <w:p w:rsidR="00635EAD" w:rsidRDefault="00000000">
      <w:pPr>
        <w:pStyle w:val="Titre3"/>
      </w:pPr>
      <w:bookmarkStart w:id="9" w:name="_heading=h.2s8eyo1" w:colFirst="0" w:colLast="0"/>
      <w:bookmarkEnd w:id="9"/>
      <w:r>
        <w:t xml:space="preserve">2.1.3 Dépenses non éligibles à la subvention </w:t>
      </w:r>
    </w:p>
    <w:p w:rsidR="00635EAD" w:rsidRDefault="00000000">
      <w:pPr>
        <w:pBdr>
          <w:top w:val="nil"/>
          <w:left w:val="nil"/>
          <w:bottom w:val="nil"/>
          <w:right w:val="nil"/>
          <w:between w:val="nil"/>
        </w:pBdr>
        <w:jc w:val="both"/>
        <w:rPr>
          <w:sz w:val="22"/>
          <w:szCs w:val="22"/>
        </w:rPr>
      </w:pPr>
      <w:r>
        <w:rPr>
          <w:sz w:val="22"/>
          <w:szCs w:val="22"/>
        </w:rPr>
        <w:t>La liste suivante énumère les dépenses inéligibles à la subvention ne devant donc pas entrer dans le budget ou les activités proposés :</w:t>
      </w:r>
    </w:p>
    <w:p w:rsidR="00635EAD" w:rsidRDefault="00000000">
      <w:pPr>
        <w:numPr>
          <w:ilvl w:val="0"/>
          <w:numId w:val="1"/>
        </w:numPr>
        <w:jc w:val="both"/>
        <w:rPr>
          <w:sz w:val="22"/>
          <w:szCs w:val="22"/>
        </w:rPr>
      </w:pPr>
      <w:r>
        <w:rPr>
          <w:sz w:val="22"/>
          <w:szCs w:val="22"/>
        </w:rPr>
        <w:t>les frais de divertissement, et notamment l'alcool ;</w:t>
      </w:r>
    </w:p>
    <w:p w:rsidR="00635EAD" w:rsidRDefault="00000000">
      <w:pPr>
        <w:numPr>
          <w:ilvl w:val="0"/>
          <w:numId w:val="1"/>
        </w:numPr>
        <w:jc w:val="both"/>
        <w:rPr>
          <w:sz w:val="22"/>
          <w:szCs w:val="22"/>
        </w:rPr>
      </w:pPr>
      <w:r>
        <w:rPr>
          <w:sz w:val="22"/>
          <w:szCs w:val="22"/>
        </w:rPr>
        <w:t>les cadeaux et les produits de luxe ;</w:t>
      </w:r>
    </w:p>
    <w:p w:rsidR="00635EAD" w:rsidRDefault="00000000">
      <w:pPr>
        <w:numPr>
          <w:ilvl w:val="0"/>
          <w:numId w:val="1"/>
        </w:numPr>
        <w:jc w:val="both"/>
        <w:rPr>
          <w:sz w:val="22"/>
          <w:szCs w:val="22"/>
        </w:rPr>
      </w:pPr>
      <w:r>
        <w:rPr>
          <w:sz w:val="22"/>
          <w:szCs w:val="22"/>
        </w:rPr>
        <w:t>les frais de portage financier ;</w:t>
      </w:r>
    </w:p>
    <w:p w:rsidR="00635EAD" w:rsidRDefault="00000000">
      <w:pPr>
        <w:numPr>
          <w:ilvl w:val="0"/>
          <w:numId w:val="1"/>
        </w:numPr>
        <w:jc w:val="both"/>
        <w:rPr>
          <w:sz w:val="22"/>
          <w:szCs w:val="22"/>
        </w:rPr>
      </w:pPr>
      <w:r>
        <w:rPr>
          <w:sz w:val="22"/>
          <w:szCs w:val="22"/>
        </w:rPr>
        <w:t>les divers frais d'adhésion ;</w:t>
      </w:r>
    </w:p>
    <w:p w:rsidR="00635EAD" w:rsidRDefault="00000000">
      <w:pPr>
        <w:numPr>
          <w:ilvl w:val="0"/>
          <w:numId w:val="1"/>
        </w:numPr>
        <w:jc w:val="both"/>
        <w:rPr>
          <w:sz w:val="22"/>
          <w:szCs w:val="22"/>
        </w:rPr>
      </w:pPr>
      <w:r>
        <w:rPr>
          <w:sz w:val="22"/>
          <w:szCs w:val="22"/>
        </w:rPr>
        <w:t>les frais de brevets ;</w:t>
      </w:r>
    </w:p>
    <w:p w:rsidR="00635EAD" w:rsidRDefault="00000000">
      <w:pPr>
        <w:numPr>
          <w:ilvl w:val="0"/>
          <w:numId w:val="1"/>
        </w:numPr>
        <w:jc w:val="both"/>
        <w:rPr>
          <w:sz w:val="22"/>
          <w:szCs w:val="22"/>
        </w:rPr>
      </w:pPr>
      <w:r>
        <w:rPr>
          <w:sz w:val="22"/>
          <w:szCs w:val="22"/>
        </w:rPr>
        <w:t>les vaccins et médicaments non essentiels et/ou de base, non indispensables ou nécessaires à la mise en œuvre du Projet, sous réserve de l'accord écrit préalable de Synergy ;</w:t>
      </w:r>
    </w:p>
    <w:p w:rsidR="00635EAD" w:rsidRDefault="00000000">
      <w:pPr>
        <w:numPr>
          <w:ilvl w:val="0"/>
          <w:numId w:val="1"/>
        </w:numPr>
        <w:jc w:val="both"/>
        <w:rPr>
          <w:sz w:val="22"/>
          <w:szCs w:val="22"/>
        </w:rPr>
      </w:pPr>
      <w:r>
        <w:rPr>
          <w:sz w:val="22"/>
          <w:szCs w:val="22"/>
        </w:rPr>
        <w:t>les frais d'intérêts ; et</w:t>
      </w:r>
    </w:p>
    <w:p w:rsidR="00635EAD" w:rsidRDefault="00000000">
      <w:pPr>
        <w:numPr>
          <w:ilvl w:val="0"/>
          <w:numId w:val="1"/>
        </w:numPr>
        <w:jc w:val="both"/>
        <w:rPr>
          <w:sz w:val="22"/>
          <w:szCs w:val="22"/>
        </w:rPr>
      </w:pPr>
      <w:r>
        <w:rPr>
          <w:sz w:val="22"/>
          <w:szCs w:val="22"/>
        </w:rPr>
        <w:t xml:space="preserve">les frais liés aux </w:t>
      </w:r>
      <w:r>
        <w:t>tiers non</w:t>
      </w:r>
      <w:r>
        <w:rPr>
          <w:sz w:val="22"/>
          <w:szCs w:val="22"/>
        </w:rPr>
        <w:t xml:space="preserve"> autorisés ou à d'autres membres du personnel non liés au projet.</w:t>
      </w:r>
    </w:p>
    <w:p w:rsidR="00635EAD" w:rsidRDefault="00635EAD">
      <w:pPr>
        <w:pBdr>
          <w:top w:val="nil"/>
          <w:left w:val="nil"/>
          <w:bottom w:val="nil"/>
          <w:right w:val="nil"/>
          <w:between w:val="nil"/>
        </w:pBdr>
        <w:rPr>
          <w:rFonts w:ascii="Open Sans" w:eastAsia="Open Sans" w:hAnsi="Open Sans" w:cs="Open Sans"/>
          <w:sz w:val="20"/>
          <w:szCs w:val="20"/>
          <w:highlight w:val="green"/>
        </w:rPr>
      </w:pPr>
    </w:p>
    <w:p w:rsidR="00635EAD" w:rsidRDefault="00000000">
      <w:pPr>
        <w:pStyle w:val="Titre3"/>
      </w:pPr>
      <w:bookmarkStart w:id="10" w:name="_heading=h.17dp8vu" w:colFirst="0" w:colLast="0"/>
      <w:bookmarkEnd w:id="10"/>
      <w:r>
        <w:lastRenderedPageBreak/>
        <w:t>2.1.4 Durée du projet</w:t>
      </w:r>
    </w:p>
    <w:p w:rsidR="00635EAD" w:rsidRDefault="00000000">
      <w:pPr>
        <w:pBdr>
          <w:top w:val="nil"/>
          <w:left w:val="nil"/>
          <w:bottom w:val="nil"/>
          <w:right w:val="nil"/>
          <w:between w:val="nil"/>
        </w:pBdr>
        <w:rPr>
          <w:color w:val="000000"/>
          <w:sz w:val="22"/>
          <w:szCs w:val="22"/>
        </w:rPr>
      </w:pPr>
      <w:r>
        <w:rPr>
          <w:sz w:val="22"/>
          <w:szCs w:val="22"/>
        </w:rPr>
        <w:t>La durée initiale prévue du projet ne peut être inférieure à 6 mois ni supérieure à 18 mois.</w:t>
      </w:r>
      <w:r>
        <w:t xml:space="preserve"> </w:t>
      </w:r>
      <w:r>
        <w:rPr>
          <w:sz w:val="22"/>
          <w:szCs w:val="22"/>
        </w:rPr>
        <w:t xml:space="preserve">La date de </w:t>
      </w:r>
      <w:r>
        <w:t>lancement</w:t>
      </w:r>
      <w:r>
        <w:rPr>
          <w:sz w:val="22"/>
          <w:szCs w:val="22"/>
        </w:rPr>
        <w:t xml:space="preserve"> du projet sera convenue avec les bénéficiaires retenus. </w:t>
      </w:r>
    </w:p>
    <w:p w:rsidR="00635EAD" w:rsidRDefault="00635EAD">
      <w:pPr>
        <w:pBdr>
          <w:top w:val="nil"/>
          <w:left w:val="nil"/>
          <w:bottom w:val="nil"/>
          <w:right w:val="nil"/>
          <w:between w:val="nil"/>
        </w:pBdr>
        <w:rPr>
          <w:sz w:val="22"/>
          <w:szCs w:val="22"/>
        </w:rPr>
      </w:pPr>
      <w:bookmarkStart w:id="11" w:name="_heading=h.br7r5l5befxa" w:colFirst="0" w:colLast="0"/>
      <w:bookmarkEnd w:id="11"/>
    </w:p>
    <w:p w:rsidR="00635EAD" w:rsidRDefault="00000000">
      <w:pPr>
        <w:pStyle w:val="Titre2"/>
      </w:pPr>
      <w:bookmarkStart w:id="12" w:name="_heading=h.3rdcrjn" w:colFirst="0" w:colLast="0"/>
      <w:bookmarkEnd w:id="12"/>
      <w:r>
        <w:t>2.2 MODALITÉS DE CANDIDATURE ET PROCÉDURE À SUIVRE</w:t>
      </w:r>
    </w:p>
    <w:p w:rsidR="00635EAD" w:rsidRDefault="00000000">
      <w:pPr>
        <w:pStyle w:val="Titre3"/>
      </w:pPr>
      <w:bookmarkStart w:id="13" w:name="_heading=h.26in1rg" w:colFirst="0" w:colLast="0"/>
      <w:bookmarkEnd w:id="13"/>
      <w:r>
        <w:t>2.2.1 Contenu du formulaire de candidature</w:t>
      </w:r>
    </w:p>
    <w:p w:rsidR="00635EAD" w:rsidRDefault="00000000">
      <w:pPr>
        <w:pBdr>
          <w:top w:val="nil"/>
          <w:left w:val="nil"/>
          <w:bottom w:val="nil"/>
          <w:right w:val="nil"/>
          <w:between w:val="nil"/>
        </w:pBdr>
        <w:ind w:left="720"/>
        <w:rPr>
          <w:color w:val="000000"/>
          <w:sz w:val="22"/>
          <w:szCs w:val="22"/>
        </w:rPr>
      </w:pPr>
      <w:r>
        <w:rPr>
          <w:sz w:val="22"/>
          <w:szCs w:val="22"/>
        </w:rPr>
        <w:t>Veuillez noter que </w:t>
      </w:r>
      <w:r>
        <w:rPr>
          <w:color w:val="000000"/>
          <w:sz w:val="22"/>
          <w:szCs w:val="22"/>
        </w:rPr>
        <w:t xml:space="preserve">: </w:t>
      </w:r>
    </w:p>
    <w:p w:rsidR="00635EAD" w:rsidRDefault="00000000">
      <w:pPr>
        <w:numPr>
          <w:ilvl w:val="0"/>
          <w:numId w:val="7"/>
        </w:numPr>
        <w:pBdr>
          <w:top w:val="nil"/>
          <w:left w:val="nil"/>
          <w:bottom w:val="nil"/>
          <w:right w:val="nil"/>
          <w:between w:val="nil"/>
        </w:pBdr>
        <w:rPr>
          <w:color w:val="000000"/>
          <w:sz w:val="22"/>
          <w:szCs w:val="22"/>
        </w:rPr>
      </w:pPr>
      <w:r>
        <w:rPr>
          <w:sz w:val="22"/>
          <w:szCs w:val="22"/>
        </w:rPr>
        <w:t xml:space="preserve">Au sein du formulaire de candidature, le candidat doit uniquement fournir une estimation du budget total demandé par catégorie. Par la suite, Synergy for Justice demandera un budget détaillé aux candidats si le projet est sélectionné pour recevoir une subvention. </w:t>
      </w:r>
      <w:r>
        <w:rPr>
          <w:color w:val="000000"/>
          <w:sz w:val="22"/>
          <w:szCs w:val="22"/>
        </w:rPr>
        <w:t xml:space="preserve"> </w:t>
      </w:r>
    </w:p>
    <w:p w:rsidR="00635EAD" w:rsidRDefault="00000000">
      <w:pPr>
        <w:numPr>
          <w:ilvl w:val="0"/>
          <w:numId w:val="7"/>
        </w:numPr>
        <w:pBdr>
          <w:top w:val="nil"/>
          <w:left w:val="nil"/>
          <w:bottom w:val="nil"/>
          <w:right w:val="nil"/>
          <w:between w:val="nil"/>
        </w:pBdr>
        <w:shd w:val="clear" w:color="auto" w:fill="FFFFFF"/>
        <w:rPr>
          <w:color w:val="000000"/>
          <w:sz w:val="22"/>
          <w:szCs w:val="22"/>
        </w:rPr>
      </w:pPr>
      <w:r>
        <w:rPr>
          <w:b/>
          <w:sz w:val="22"/>
          <w:szCs w:val="22"/>
        </w:rPr>
        <w:t>Le formulaire de demande pour l'appel à projets 2025</w:t>
      </w:r>
      <w:r>
        <w:rPr>
          <w:sz w:val="22"/>
          <w:szCs w:val="22"/>
        </w:rPr>
        <w:t xml:space="preserve"> est disponible </w:t>
      </w:r>
      <w:hyperlink r:id="rId11">
        <w:r>
          <w:rPr>
            <w:color w:val="0000FF"/>
            <w:sz w:val="22"/>
            <w:szCs w:val="22"/>
            <w:u w:val="single"/>
          </w:rPr>
          <w:t>ici</w:t>
        </w:r>
      </w:hyperlink>
      <w:r>
        <w:rPr>
          <w:sz w:val="22"/>
          <w:szCs w:val="22"/>
        </w:rPr>
        <w:t xml:space="preserve"> </w:t>
      </w:r>
    </w:p>
    <w:p w:rsidR="00635EAD" w:rsidRDefault="00000000">
      <w:pPr>
        <w:numPr>
          <w:ilvl w:val="0"/>
          <w:numId w:val="7"/>
        </w:numPr>
        <w:pBdr>
          <w:top w:val="nil"/>
          <w:left w:val="nil"/>
          <w:bottom w:val="nil"/>
          <w:right w:val="nil"/>
          <w:between w:val="nil"/>
        </w:pBdr>
        <w:shd w:val="clear" w:color="auto" w:fill="FFFFFF"/>
        <w:rPr>
          <w:color w:val="000000"/>
          <w:sz w:val="22"/>
          <w:szCs w:val="22"/>
        </w:rPr>
      </w:pPr>
      <w:r>
        <w:rPr>
          <w:sz w:val="22"/>
          <w:szCs w:val="22"/>
        </w:rPr>
        <w:t xml:space="preserve">Merci de respecter la </w:t>
      </w:r>
      <w:r>
        <w:rPr>
          <w:b/>
          <w:sz w:val="22"/>
          <w:szCs w:val="22"/>
        </w:rPr>
        <w:t>limite de mots</w:t>
      </w:r>
      <w:r>
        <w:rPr>
          <w:sz w:val="22"/>
          <w:szCs w:val="22"/>
        </w:rPr>
        <w:t xml:space="preserve"> attribuée à chaque question du formulaire de candidature</w:t>
      </w:r>
      <w:r>
        <w:rPr>
          <w:color w:val="000000"/>
          <w:sz w:val="22"/>
          <w:szCs w:val="22"/>
        </w:rPr>
        <w:t>.</w:t>
      </w:r>
    </w:p>
    <w:p w:rsidR="00635EAD" w:rsidRDefault="00000000">
      <w:pPr>
        <w:numPr>
          <w:ilvl w:val="0"/>
          <w:numId w:val="7"/>
        </w:numPr>
        <w:pBdr>
          <w:top w:val="nil"/>
          <w:left w:val="nil"/>
          <w:bottom w:val="nil"/>
          <w:right w:val="nil"/>
          <w:between w:val="nil"/>
        </w:pBdr>
        <w:shd w:val="clear" w:color="auto" w:fill="FFFFFF"/>
        <w:rPr>
          <w:sz w:val="22"/>
          <w:szCs w:val="22"/>
        </w:rPr>
      </w:pPr>
      <w:r>
        <w:rPr>
          <w:sz w:val="22"/>
          <w:szCs w:val="22"/>
        </w:rPr>
        <w:t xml:space="preserve">Merci d’utiliser la police Times New Roman, taille 12, dans le formulaire de candidature. </w:t>
      </w:r>
    </w:p>
    <w:p w:rsidR="00635EAD" w:rsidRDefault="00635EAD">
      <w:pPr>
        <w:pBdr>
          <w:top w:val="nil"/>
          <w:left w:val="nil"/>
          <w:bottom w:val="nil"/>
          <w:right w:val="nil"/>
          <w:between w:val="nil"/>
        </w:pBdr>
        <w:shd w:val="clear" w:color="auto" w:fill="FFFFFF"/>
        <w:ind w:left="720"/>
      </w:pPr>
    </w:p>
    <w:p w:rsidR="00635EAD" w:rsidRDefault="00000000">
      <w:pPr>
        <w:pStyle w:val="Titre3"/>
      </w:pPr>
      <w:bookmarkStart w:id="14" w:name="_heading=h.lnxbz9" w:colFirst="0" w:colLast="0"/>
      <w:bookmarkEnd w:id="14"/>
      <w:r>
        <w:t>2.2.2 Où et comment envoyer le formulaire de candidature</w:t>
      </w:r>
    </w:p>
    <w:p w:rsidR="00635EAD" w:rsidRDefault="00000000">
      <w:pPr>
        <w:pBdr>
          <w:top w:val="nil"/>
          <w:left w:val="nil"/>
          <w:bottom w:val="nil"/>
          <w:right w:val="nil"/>
          <w:between w:val="nil"/>
        </w:pBdr>
        <w:rPr>
          <w:color w:val="000000"/>
          <w:sz w:val="22"/>
          <w:szCs w:val="22"/>
        </w:rPr>
      </w:pPr>
      <w:r>
        <w:rPr>
          <w:sz w:val="22"/>
          <w:szCs w:val="22"/>
        </w:rPr>
        <w:t xml:space="preserve">Le formulaire de candidature doit être soumis au format PDF à l’adresse : </w:t>
      </w:r>
      <w:hyperlink r:id="rId12">
        <w:r>
          <w:rPr>
            <w:b/>
            <w:color w:val="0000FF"/>
            <w:sz w:val="22"/>
            <w:szCs w:val="22"/>
            <w:u w:val="single"/>
          </w:rPr>
          <w:t>stk@synergyforjustice.org</w:t>
        </w:r>
      </w:hyperlink>
      <w:r>
        <w:rPr>
          <w:b/>
          <w:color w:val="0000FF"/>
          <w:sz w:val="22"/>
          <w:szCs w:val="22"/>
        </w:rPr>
        <w:t xml:space="preserve"> </w:t>
      </w:r>
      <w:r>
        <w:rPr>
          <w:sz w:val="22"/>
          <w:szCs w:val="22"/>
        </w:rPr>
        <w:t>et comporter le titre de cet appel à projets dans le champ « objet » de l’e-mail (appel 2025 - projet stigmatisation dans le domaine de la justice</w:t>
      </w:r>
      <w:r>
        <w:rPr>
          <w:color w:val="000000"/>
          <w:sz w:val="22"/>
          <w:szCs w:val="22"/>
        </w:rPr>
        <w:t>).</w:t>
      </w:r>
    </w:p>
    <w:p w:rsidR="00635EAD" w:rsidRDefault="00635EAD">
      <w:pPr>
        <w:pBdr>
          <w:top w:val="nil"/>
          <w:left w:val="nil"/>
          <w:bottom w:val="nil"/>
          <w:right w:val="nil"/>
          <w:between w:val="nil"/>
        </w:pBdr>
      </w:pPr>
    </w:p>
    <w:p w:rsidR="00635EAD" w:rsidRDefault="00000000">
      <w:pPr>
        <w:pStyle w:val="Titre3"/>
        <w:rPr>
          <w:highlight w:val="yellow"/>
        </w:rPr>
      </w:pPr>
      <w:bookmarkStart w:id="15" w:name="_heading=h.49x2ik5" w:colFirst="0" w:colLast="0"/>
      <w:bookmarkEnd w:id="15"/>
      <w:r>
        <w:t>2.2.3 Processus d'examen des candidatures et calendrier</w:t>
      </w:r>
    </w:p>
    <w:p w:rsidR="00635EAD" w:rsidRDefault="00000000">
      <w:pPr>
        <w:pBdr>
          <w:top w:val="nil"/>
          <w:left w:val="nil"/>
          <w:bottom w:val="nil"/>
          <w:right w:val="nil"/>
          <w:between w:val="nil"/>
        </w:pBdr>
        <w:jc w:val="both"/>
        <w:rPr>
          <w:sz w:val="22"/>
          <w:szCs w:val="22"/>
          <w:highlight w:val="yellow"/>
        </w:rPr>
      </w:pPr>
      <w:r>
        <w:rPr>
          <w:sz w:val="22"/>
          <w:szCs w:val="22"/>
        </w:rPr>
        <w:t>Nous évaluerons chaque projet en fonction de la qualité, de la faisabilité et de la pertinence des activités proposées. Nous contacterons les projets sélectionnés avant le 31 mars 2025.</w:t>
      </w:r>
    </w:p>
    <w:p w:rsidR="00635EAD" w:rsidRDefault="00635EAD">
      <w:pPr>
        <w:pBdr>
          <w:top w:val="nil"/>
          <w:left w:val="nil"/>
          <w:bottom w:val="nil"/>
          <w:right w:val="nil"/>
          <w:between w:val="nil"/>
        </w:pBdr>
        <w:rPr>
          <w:highlight w:val="yellow"/>
        </w:rPr>
      </w:pPr>
    </w:p>
    <w:p w:rsidR="00635EAD" w:rsidRDefault="00000000">
      <w:pPr>
        <w:pStyle w:val="Titre3"/>
      </w:pPr>
      <w:bookmarkStart w:id="16" w:name="_heading=h.2p2csry" w:colFirst="0" w:colLast="0"/>
      <w:bookmarkEnd w:id="16"/>
      <w:r>
        <w:t xml:space="preserve">2.2.4 Date limite pour les questions et la soumission du formulaire de candidature </w:t>
      </w:r>
    </w:p>
    <w:p w:rsidR="00635EAD" w:rsidRDefault="00000000">
      <w:pPr>
        <w:pBdr>
          <w:top w:val="nil"/>
          <w:left w:val="nil"/>
          <w:bottom w:val="nil"/>
          <w:right w:val="nil"/>
          <w:between w:val="nil"/>
        </w:pBdr>
        <w:rPr>
          <w:color w:val="000000"/>
          <w:sz w:val="22"/>
          <w:szCs w:val="22"/>
        </w:rPr>
      </w:pPr>
      <w:r>
        <w:rPr>
          <w:sz w:val="22"/>
          <w:szCs w:val="22"/>
        </w:rPr>
        <w:t xml:space="preserve">Si vous avez la moindre question, merci de nous contacter avant le 25 janvier 2025 à l'adresse suivante : </w:t>
      </w:r>
      <w:hyperlink r:id="rId13">
        <w:r>
          <w:rPr>
            <w:b/>
            <w:color w:val="0000FF"/>
            <w:sz w:val="22"/>
            <w:szCs w:val="22"/>
            <w:u w:val="single"/>
          </w:rPr>
          <w:t>stk@synergyforjustice.org</w:t>
        </w:r>
      </w:hyperlink>
    </w:p>
    <w:p w:rsidR="00635EAD" w:rsidRDefault="00635EAD">
      <w:pPr>
        <w:pBdr>
          <w:top w:val="nil"/>
          <w:left w:val="nil"/>
          <w:bottom w:val="nil"/>
          <w:right w:val="nil"/>
          <w:between w:val="nil"/>
        </w:pBdr>
        <w:rPr>
          <w:color w:val="000000"/>
          <w:sz w:val="22"/>
          <w:szCs w:val="22"/>
        </w:rPr>
      </w:pPr>
    </w:p>
    <w:p w:rsidR="00635EAD" w:rsidRDefault="00000000">
      <w:pPr>
        <w:pBdr>
          <w:top w:val="nil"/>
          <w:left w:val="nil"/>
          <w:bottom w:val="nil"/>
          <w:right w:val="nil"/>
          <w:between w:val="nil"/>
        </w:pBdr>
        <w:rPr>
          <w:color w:val="000000"/>
          <w:sz w:val="22"/>
          <w:szCs w:val="22"/>
        </w:rPr>
      </w:pPr>
      <w:r>
        <w:rPr>
          <w:sz w:val="22"/>
          <w:szCs w:val="22"/>
        </w:rPr>
        <w:t xml:space="preserve">La date limite de soumission du formulaire de candidature est le </w:t>
      </w:r>
      <w:r>
        <w:rPr>
          <w:b/>
          <w:sz w:val="22"/>
          <w:szCs w:val="22"/>
        </w:rPr>
        <w:t>25/02/2025 à 18h00</w:t>
      </w:r>
      <w:r>
        <w:rPr>
          <w:sz w:val="22"/>
          <w:szCs w:val="22"/>
        </w:rPr>
        <w:t xml:space="preserve"> (Heure de Paris). Si vous souhaitez convertir cette heure dans votre heure locale, veuillez utiliser un outil de conversion de l'heure en ligne qui prend en compte les fuseaux horaires et les changements d'heure hiver/été (exemple disponible </w:t>
      </w:r>
      <w:hyperlink r:id="rId14">
        <w:r>
          <w:rPr>
            <w:b/>
            <w:color w:val="0000FF"/>
            <w:sz w:val="22"/>
            <w:szCs w:val="22"/>
            <w:u w:val="single"/>
          </w:rPr>
          <w:t>ici</w:t>
        </w:r>
      </w:hyperlink>
      <w:r>
        <w:rPr>
          <w:color w:val="000000"/>
          <w:sz w:val="22"/>
          <w:szCs w:val="22"/>
        </w:rPr>
        <w:t xml:space="preserve">). </w:t>
      </w:r>
    </w:p>
    <w:p w:rsidR="00635EAD" w:rsidRDefault="00635EAD">
      <w:pPr>
        <w:pBdr>
          <w:top w:val="nil"/>
          <w:left w:val="nil"/>
          <w:bottom w:val="nil"/>
          <w:right w:val="nil"/>
          <w:between w:val="nil"/>
        </w:pBdr>
        <w:rPr>
          <w:b/>
          <w:color w:val="000000"/>
          <w:sz w:val="18"/>
          <w:szCs w:val="18"/>
        </w:rPr>
      </w:pPr>
    </w:p>
    <w:p w:rsidR="00635EAD" w:rsidRDefault="00000000">
      <w:pPr>
        <w:pBdr>
          <w:top w:val="nil"/>
          <w:left w:val="nil"/>
          <w:bottom w:val="nil"/>
          <w:right w:val="nil"/>
          <w:between w:val="nil"/>
        </w:pBdr>
        <w:rPr>
          <w:color w:val="000000"/>
        </w:rPr>
      </w:pPr>
      <w:r>
        <w:rPr>
          <w:b/>
          <w:color w:val="000000"/>
          <w:sz w:val="18"/>
          <w:szCs w:val="18"/>
        </w:rPr>
        <w:t xml:space="preserve"> </w:t>
      </w:r>
    </w:p>
    <w:sectPr w:rsidR="00635EAD">
      <w:footerReference w:type="even" r:id="rId15"/>
      <w:footerReference w:type="default" r:id="rId16"/>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E07" w:rsidRDefault="00541E07">
      <w:r>
        <w:separator/>
      </w:r>
    </w:p>
  </w:endnote>
  <w:endnote w:type="continuationSeparator" w:id="0">
    <w:p w:rsidR="00541E07" w:rsidRDefault="005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EAD"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635EAD" w:rsidRDefault="00635EA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EAD"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5727A">
      <w:rPr>
        <w:noProof/>
        <w:color w:val="000000"/>
      </w:rPr>
      <w:t>1</w:t>
    </w:r>
    <w:r>
      <w:rPr>
        <w:color w:val="000000"/>
      </w:rPr>
      <w:fldChar w:fldCharType="end"/>
    </w:r>
  </w:p>
  <w:p w:rsidR="00635EAD" w:rsidRDefault="00635EAD">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E07" w:rsidRDefault="00541E07">
      <w:r>
        <w:separator/>
      </w:r>
    </w:p>
  </w:footnote>
  <w:footnote w:type="continuationSeparator" w:id="0">
    <w:p w:rsidR="00541E07" w:rsidRDefault="0054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93B"/>
    <w:multiLevelType w:val="multilevel"/>
    <w:tmpl w:val="135873B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70C91"/>
    <w:multiLevelType w:val="multilevel"/>
    <w:tmpl w:val="A3F6A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9A4C6B"/>
    <w:multiLevelType w:val="multilevel"/>
    <w:tmpl w:val="C1FE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E511C0"/>
    <w:multiLevelType w:val="multilevel"/>
    <w:tmpl w:val="57EC7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68481A"/>
    <w:multiLevelType w:val="multilevel"/>
    <w:tmpl w:val="B400F93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2052FD"/>
    <w:multiLevelType w:val="multilevel"/>
    <w:tmpl w:val="187CC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DB4B7A"/>
    <w:multiLevelType w:val="multilevel"/>
    <w:tmpl w:val="82BE57D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2D1F04"/>
    <w:multiLevelType w:val="multilevel"/>
    <w:tmpl w:val="41B87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44957CC"/>
    <w:multiLevelType w:val="multilevel"/>
    <w:tmpl w:val="D6B219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7D57629"/>
    <w:multiLevelType w:val="multilevel"/>
    <w:tmpl w:val="C18A3C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CE790A"/>
    <w:multiLevelType w:val="multilevel"/>
    <w:tmpl w:val="7424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443621">
    <w:abstractNumId w:val="9"/>
  </w:num>
  <w:num w:numId="2" w16cid:durableId="622270084">
    <w:abstractNumId w:val="0"/>
  </w:num>
  <w:num w:numId="3" w16cid:durableId="1391490491">
    <w:abstractNumId w:val="6"/>
  </w:num>
  <w:num w:numId="4" w16cid:durableId="928730130">
    <w:abstractNumId w:val="7"/>
  </w:num>
  <w:num w:numId="5" w16cid:durableId="1935043612">
    <w:abstractNumId w:val="10"/>
  </w:num>
  <w:num w:numId="6" w16cid:durableId="1397120630">
    <w:abstractNumId w:val="2"/>
  </w:num>
  <w:num w:numId="7" w16cid:durableId="1752579119">
    <w:abstractNumId w:val="8"/>
  </w:num>
  <w:num w:numId="8" w16cid:durableId="291909307">
    <w:abstractNumId w:val="1"/>
  </w:num>
  <w:num w:numId="9" w16cid:durableId="553391214">
    <w:abstractNumId w:val="3"/>
  </w:num>
  <w:num w:numId="10" w16cid:durableId="1310401865">
    <w:abstractNumId w:val="5"/>
  </w:num>
  <w:num w:numId="11" w16cid:durableId="1933007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AD"/>
    <w:rsid w:val="00541E07"/>
    <w:rsid w:val="00635EAD"/>
    <w:rsid w:val="00D57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907ED19B-E7AC-8547-94A7-71E2D7A6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D3"/>
  </w:style>
  <w:style w:type="paragraph" w:styleId="Titre1">
    <w:name w:val="heading 1"/>
    <w:basedOn w:val="Normal"/>
    <w:next w:val="Normal"/>
    <w:link w:val="Titre1Car"/>
    <w:uiPriority w:val="9"/>
    <w:qFormat/>
    <w:rsid w:val="002E186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2E1864"/>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itre3">
    <w:name w:val="heading 3"/>
    <w:basedOn w:val="Normal"/>
    <w:link w:val="Titre3Car"/>
    <w:uiPriority w:val="9"/>
    <w:unhideWhenUsed/>
    <w:qFormat/>
    <w:rsid w:val="002E1864"/>
    <w:pPr>
      <w:spacing w:before="100" w:beforeAutospacing="1" w:after="100" w:afterAutospacing="1"/>
      <w:outlineLvl w:val="2"/>
    </w:pPr>
    <w:rPr>
      <w:b/>
      <w:bCs/>
      <w:lang w:val="en-US"/>
    </w:rPr>
  </w:style>
  <w:style w:type="paragraph" w:styleId="Titre4">
    <w:name w:val="heading 4"/>
    <w:basedOn w:val="Normal"/>
    <w:next w:val="Normal"/>
    <w:link w:val="Titre4Car"/>
    <w:uiPriority w:val="9"/>
    <w:semiHidden/>
    <w:unhideWhenUsed/>
    <w:qFormat/>
    <w:rsid w:val="0012581F"/>
    <w:pPr>
      <w:keepNext/>
      <w:keepLines/>
      <w:spacing w:before="40"/>
      <w:outlineLvl w:val="3"/>
    </w:pPr>
    <w:rPr>
      <w:rFonts w:asciiTheme="majorHAnsi" w:eastAsiaTheme="majorEastAsia" w:hAnsiTheme="majorHAnsi" w:cstheme="majorBidi"/>
      <w:i/>
      <w:iCs/>
      <w:color w:val="2F5496" w:themeColor="accent1" w:themeShade="BF"/>
      <w:lang w:val="en-US"/>
    </w:rPr>
  </w:style>
  <w:style w:type="paragraph" w:styleId="Titre5">
    <w:name w:val="heading 5"/>
    <w:basedOn w:val="Normal"/>
    <w:next w:val="Normal"/>
    <w:uiPriority w:val="9"/>
    <w:semiHidden/>
    <w:unhideWhenUsed/>
    <w:qFormat/>
    <w:pPr>
      <w:keepNext/>
      <w:keepLines/>
      <w:spacing w:before="220" w:after="40"/>
      <w:outlineLvl w:val="4"/>
    </w:pPr>
    <w:rPr>
      <w:b/>
      <w:sz w:val="22"/>
      <w:szCs w:val="22"/>
      <w:lang w:val="en-US"/>
    </w:rPr>
  </w:style>
  <w:style w:type="paragraph" w:styleId="Titre6">
    <w:name w:val="heading 6"/>
    <w:basedOn w:val="Normal"/>
    <w:next w:val="Normal"/>
    <w:uiPriority w:val="9"/>
    <w:semiHidden/>
    <w:unhideWhenUsed/>
    <w:qFormat/>
    <w:pPr>
      <w:keepNext/>
      <w:keepLines/>
      <w:spacing w:before="200" w:after="40"/>
      <w:outlineLvl w:val="5"/>
    </w:pPr>
    <w:rPr>
      <w:b/>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lang w:val="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unhideWhenUsed/>
    <w:rsid w:val="004F26B4"/>
    <w:pPr>
      <w:spacing w:before="100" w:beforeAutospacing="1" w:after="100" w:afterAutospacing="1"/>
    </w:pPr>
    <w:rPr>
      <w:lang w:val="en-US"/>
    </w:rPr>
  </w:style>
  <w:style w:type="character" w:customStyle="1" w:styleId="Titre3Car">
    <w:name w:val="Titre 3 Car"/>
    <w:basedOn w:val="Policepardfaut"/>
    <w:link w:val="Titre3"/>
    <w:uiPriority w:val="9"/>
    <w:rsid w:val="002E1864"/>
    <w:rPr>
      <w:rFonts w:ascii="Times New Roman" w:eastAsia="Times New Roman" w:hAnsi="Times New Roman" w:cs="Times New Roman"/>
      <w:b/>
      <w:bCs/>
      <w:kern w:val="0"/>
      <w:lang w:val="en-US" w:eastAsia="fr-FR"/>
    </w:rPr>
  </w:style>
  <w:style w:type="character" w:customStyle="1" w:styleId="apple-converted-space">
    <w:name w:val="apple-converted-space"/>
    <w:basedOn w:val="Policepardfaut"/>
    <w:rsid w:val="00607971"/>
  </w:style>
  <w:style w:type="character" w:styleId="lev">
    <w:name w:val="Strong"/>
    <w:basedOn w:val="Policepardfaut"/>
    <w:uiPriority w:val="22"/>
    <w:qFormat/>
    <w:rsid w:val="00607971"/>
    <w:rPr>
      <w:b/>
      <w:bCs/>
    </w:rPr>
  </w:style>
  <w:style w:type="character" w:styleId="Marquedecommentaire">
    <w:name w:val="annotation reference"/>
    <w:basedOn w:val="Policepardfaut"/>
    <w:uiPriority w:val="99"/>
    <w:semiHidden/>
    <w:unhideWhenUsed/>
    <w:rsid w:val="005720FA"/>
    <w:rPr>
      <w:sz w:val="16"/>
      <w:szCs w:val="16"/>
    </w:rPr>
  </w:style>
  <w:style w:type="paragraph" w:styleId="Commentaire">
    <w:name w:val="annotation text"/>
    <w:basedOn w:val="Normal"/>
    <w:link w:val="CommentaireCar"/>
    <w:uiPriority w:val="99"/>
    <w:semiHidden/>
    <w:unhideWhenUsed/>
    <w:rsid w:val="005720FA"/>
    <w:rPr>
      <w:sz w:val="20"/>
      <w:szCs w:val="20"/>
      <w:lang w:val="en-US"/>
    </w:rPr>
  </w:style>
  <w:style w:type="character" w:customStyle="1" w:styleId="CommentaireCar">
    <w:name w:val="Commentaire Car"/>
    <w:basedOn w:val="Policepardfaut"/>
    <w:link w:val="Commentaire"/>
    <w:uiPriority w:val="99"/>
    <w:semiHidden/>
    <w:rsid w:val="005720FA"/>
    <w:rPr>
      <w:sz w:val="20"/>
      <w:szCs w:val="20"/>
    </w:rPr>
  </w:style>
  <w:style w:type="paragraph" w:styleId="Objetducommentaire">
    <w:name w:val="annotation subject"/>
    <w:basedOn w:val="Commentaire"/>
    <w:next w:val="Commentaire"/>
    <w:link w:val="ObjetducommentaireCar"/>
    <w:uiPriority w:val="99"/>
    <w:semiHidden/>
    <w:unhideWhenUsed/>
    <w:rsid w:val="005720FA"/>
    <w:rPr>
      <w:b/>
      <w:bCs/>
    </w:rPr>
  </w:style>
  <w:style w:type="character" w:customStyle="1" w:styleId="ObjetducommentaireCar">
    <w:name w:val="Objet du commentaire Car"/>
    <w:basedOn w:val="CommentaireCar"/>
    <w:link w:val="Objetducommentaire"/>
    <w:uiPriority w:val="99"/>
    <w:semiHidden/>
    <w:rsid w:val="005720FA"/>
    <w:rPr>
      <w:b/>
      <w:bCs/>
      <w:sz w:val="20"/>
      <w:szCs w:val="20"/>
    </w:rPr>
  </w:style>
  <w:style w:type="character" w:styleId="Lienhypertexte">
    <w:name w:val="Hyperlink"/>
    <w:basedOn w:val="Policepardfaut"/>
    <w:uiPriority w:val="99"/>
    <w:unhideWhenUsed/>
    <w:rsid w:val="003C4E49"/>
    <w:rPr>
      <w:color w:val="0000FF"/>
      <w:u w:val="single"/>
    </w:rPr>
  </w:style>
  <w:style w:type="paragraph" w:styleId="Pieddepage">
    <w:name w:val="footer"/>
    <w:basedOn w:val="Normal"/>
    <w:link w:val="PieddepageCar"/>
    <w:uiPriority w:val="99"/>
    <w:unhideWhenUsed/>
    <w:rsid w:val="00392620"/>
    <w:pPr>
      <w:tabs>
        <w:tab w:val="center" w:pos="4536"/>
        <w:tab w:val="right" w:pos="9072"/>
      </w:tabs>
    </w:pPr>
    <w:rPr>
      <w:lang w:val="en-US"/>
    </w:rPr>
  </w:style>
  <w:style w:type="character" w:customStyle="1" w:styleId="PieddepageCar">
    <w:name w:val="Pied de page Car"/>
    <w:basedOn w:val="Policepardfaut"/>
    <w:link w:val="Pieddepage"/>
    <w:uiPriority w:val="99"/>
    <w:rsid w:val="00392620"/>
  </w:style>
  <w:style w:type="character" w:styleId="Numrodepage">
    <w:name w:val="page number"/>
    <w:basedOn w:val="Policepardfaut"/>
    <w:uiPriority w:val="99"/>
    <w:semiHidden/>
    <w:unhideWhenUsed/>
    <w:rsid w:val="00392620"/>
  </w:style>
  <w:style w:type="character" w:styleId="Mentionnonrsolue">
    <w:name w:val="Unresolved Mention"/>
    <w:basedOn w:val="Policepardfaut"/>
    <w:uiPriority w:val="99"/>
    <w:semiHidden/>
    <w:unhideWhenUsed/>
    <w:rsid w:val="00D71702"/>
    <w:rPr>
      <w:color w:val="605E5C"/>
      <w:shd w:val="clear" w:color="auto" w:fill="E1DFDD"/>
    </w:rPr>
  </w:style>
  <w:style w:type="character" w:customStyle="1" w:styleId="Titre1Car">
    <w:name w:val="Titre 1 Car"/>
    <w:basedOn w:val="Policepardfaut"/>
    <w:link w:val="Titre1"/>
    <w:uiPriority w:val="9"/>
    <w:rsid w:val="002E1864"/>
    <w:rPr>
      <w:rFonts w:asciiTheme="majorHAnsi" w:eastAsiaTheme="majorEastAsia" w:hAnsiTheme="majorHAnsi" w:cstheme="majorBidi"/>
      <w:color w:val="2F5496" w:themeColor="accent1" w:themeShade="BF"/>
      <w:kern w:val="0"/>
      <w:sz w:val="32"/>
      <w:szCs w:val="32"/>
      <w:lang w:val="en-US" w:eastAsia="fr-FR"/>
    </w:rPr>
  </w:style>
  <w:style w:type="character" w:customStyle="1" w:styleId="Titre2Car">
    <w:name w:val="Titre 2 Car"/>
    <w:basedOn w:val="Policepardfaut"/>
    <w:link w:val="Titre2"/>
    <w:uiPriority w:val="9"/>
    <w:rsid w:val="002E1864"/>
    <w:rPr>
      <w:rFonts w:asciiTheme="majorHAnsi" w:eastAsiaTheme="majorEastAsia" w:hAnsiTheme="majorHAnsi" w:cstheme="majorBidi"/>
      <w:color w:val="2F5496" w:themeColor="accent1" w:themeShade="BF"/>
      <w:kern w:val="0"/>
      <w:sz w:val="26"/>
      <w:szCs w:val="26"/>
      <w:lang w:val="en-US" w:eastAsia="fr-FR"/>
    </w:rPr>
  </w:style>
  <w:style w:type="table" w:styleId="Grilledutableau">
    <w:name w:val="Table Grid"/>
    <w:basedOn w:val="TableauNormal"/>
    <w:uiPriority w:val="39"/>
    <w:rsid w:val="008F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71371"/>
    <w:pPr>
      <w:spacing w:before="480" w:line="276" w:lineRule="auto"/>
      <w:outlineLvl w:val="9"/>
    </w:pPr>
    <w:rPr>
      <w:b/>
      <w:bCs/>
      <w:sz w:val="28"/>
      <w:szCs w:val="28"/>
    </w:rPr>
  </w:style>
  <w:style w:type="paragraph" w:styleId="TM1">
    <w:name w:val="toc 1"/>
    <w:basedOn w:val="Normal"/>
    <w:next w:val="Normal"/>
    <w:autoRedefine/>
    <w:uiPriority w:val="39"/>
    <w:unhideWhenUsed/>
    <w:rsid w:val="00730F83"/>
    <w:pPr>
      <w:tabs>
        <w:tab w:val="right" w:leader="dot" w:pos="9056"/>
      </w:tabs>
      <w:spacing w:before="360" w:line="360" w:lineRule="auto"/>
    </w:pPr>
    <w:rPr>
      <w:rFonts w:cstheme="minorHAnsi"/>
      <w:b/>
      <w:bCs/>
      <w:i/>
      <w:iCs/>
      <w:lang w:val="en-US"/>
    </w:rPr>
  </w:style>
  <w:style w:type="paragraph" w:styleId="TM2">
    <w:name w:val="toc 2"/>
    <w:basedOn w:val="Normal"/>
    <w:next w:val="Normal"/>
    <w:autoRedefine/>
    <w:uiPriority w:val="39"/>
    <w:unhideWhenUsed/>
    <w:rsid w:val="00771371"/>
    <w:pPr>
      <w:spacing w:before="120"/>
      <w:ind w:left="240"/>
    </w:pPr>
    <w:rPr>
      <w:rFonts w:cstheme="minorHAnsi"/>
      <w:b/>
      <w:bCs/>
      <w:sz w:val="22"/>
      <w:szCs w:val="22"/>
      <w:lang w:val="en-US"/>
    </w:rPr>
  </w:style>
  <w:style w:type="paragraph" w:styleId="TM3">
    <w:name w:val="toc 3"/>
    <w:basedOn w:val="Normal"/>
    <w:next w:val="Normal"/>
    <w:autoRedefine/>
    <w:uiPriority w:val="39"/>
    <w:unhideWhenUsed/>
    <w:rsid w:val="00771371"/>
    <w:pPr>
      <w:ind w:left="480"/>
    </w:pPr>
    <w:rPr>
      <w:rFonts w:cstheme="minorHAnsi"/>
      <w:sz w:val="20"/>
      <w:szCs w:val="20"/>
      <w:lang w:val="en-US"/>
    </w:rPr>
  </w:style>
  <w:style w:type="paragraph" w:styleId="TM4">
    <w:name w:val="toc 4"/>
    <w:basedOn w:val="Normal"/>
    <w:next w:val="Normal"/>
    <w:autoRedefine/>
    <w:uiPriority w:val="39"/>
    <w:semiHidden/>
    <w:unhideWhenUsed/>
    <w:rsid w:val="00771371"/>
    <w:pPr>
      <w:ind w:left="720"/>
    </w:pPr>
    <w:rPr>
      <w:rFonts w:cstheme="minorHAnsi"/>
      <w:sz w:val="20"/>
      <w:szCs w:val="20"/>
      <w:lang w:val="en-US"/>
    </w:rPr>
  </w:style>
  <w:style w:type="paragraph" w:styleId="TM5">
    <w:name w:val="toc 5"/>
    <w:basedOn w:val="Normal"/>
    <w:next w:val="Normal"/>
    <w:autoRedefine/>
    <w:uiPriority w:val="39"/>
    <w:semiHidden/>
    <w:unhideWhenUsed/>
    <w:rsid w:val="00771371"/>
    <w:pPr>
      <w:ind w:left="960"/>
    </w:pPr>
    <w:rPr>
      <w:rFonts w:cstheme="minorHAnsi"/>
      <w:sz w:val="20"/>
      <w:szCs w:val="20"/>
      <w:lang w:val="en-US"/>
    </w:rPr>
  </w:style>
  <w:style w:type="paragraph" w:styleId="TM6">
    <w:name w:val="toc 6"/>
    <w:basedOn w:val="Normal"/>
    <w:next w:val="Normal"/>
    <w:autoRedefine/>
    <w:uiPriority w:val="39"/>
    <w:semiHidden/>
    <w:unhideWhenUsed/>
    <w:rsid w:val="00771371"/>
    <w:pPr>
      <w:ind w:left="1200"/>
    </w:pPr>
    <w:rPr>
      <w:rFonts w:cstheme="minorHAnsi"/>
      <w:sz w:val="20"/>
      <w:szCs w:val="20"/>
      <w:lang w:val="en-US"/>
    </w:rPr>
  </w:style>
  <w:style w:type="paragraph" w:styleId="TM7">
    <w:name w:val="toc 7"/>
    <w:basedOn w:val="Normal"/>
    <w:next w:val="Normal"/>
    <w:autoRedefine/>
    <w:uiPriority w:val="39"/>
    <w:semiHidden/>
    <w:unhideWhenUsed/>
    <w:rsid w:val="00771371"/>
    <w:pPr>
      <w:ind w:left="1440"/>
    </w:pPr>
    <w:rPr>
      <w:rFonts w:cstheme="minorHAnsi"/>
      <w:sz w:val="20"/>
      <w:szCs w:val="20"/>
      <w:lang w:val="en-US"/>
    </w:rPr>
  </w:style>
  <w:style w:type="paragraph" w:styleId="TM8">
    <w:name w:val="toc 8"/>
    <w:basedOn w:val="Normal"/>
    <w:next w:val="Normal"/>
    <w:autoRedefine/>
    <w:uiPriority w:val="39"/>
    <w:semiHidden/>
    <w:unhideWhenUsed/>
    <w:rsid w:val="00771371"/>
    <w:pPr>
      <w:ind w:left="1680"/>
    </w:pPr>
    <w:rPr>
      <w:rFonts w:cstheme="minorHAnsi"/>
      <w:sz w:val="20"/>
      <w:szCs w:val="20"/>
      <w:lang w:val="en-US"/>
    </w:rPr>
  </w:style>
  <w:style w:type="paragraph" w:styleId="TM9">
    <w:name w:val="toc 9"/>
    <w:basedOn w:val="Normal"/>
    <w:next w:val="Normal"/>
    <w:autoRedefine/>
    <w:uiPriority w:val="39"/>
    <w:semiHidden/>
    <w:unhideWhenUsed/>
    <w:rsid w:val="00771371"/>
    <w:pPr>
      <w:ind w:left="1920"/>
    </w:pPr>
    <w:rPr>
      <w:rFonts w:cstheme="minorHAnsi"/>
      <w:sz w:val="20"/>
      <w:szCs w:val="20"/>
      <w:lang w:val="en-US"/>
    </w:rPr>
  </w:style>
  <w:style w:type="paragraph" w:styleId="Paragraphedeliste">
    <w:name w:val="List Paragraph"/>
    <w:basedOn w:val="Normal"/>
    <w:uiPriority w:val="34"/>
    <w:qFormat/>
    <w:rsid w:val="00890401"/>
    <w:pPr>
      <w:ind w:left="720"/>
      <w:contextualSpacing/>
    </w:pPr>
    <w:rPr>
      <w:lang w:val="en-US"/>
    </w:rPr>
  </w:style>
  <w:style w:type="character" w:styleId="Accentuation">
    <w:name w:val="Emphasis"/>
    <w:basedOn w:val="Policepardfaut"/>
    <w:uiPriority w:val="20"/>
    <w:qFormat/>
    <w:rsid w:val="001440C0"/>
    <w:rPr>
      <w:i/>
      <w:iCs/>
    </w:rPr>
  </w:style>
  <w:style w:type="character" w:customStyle="1" w:styleId="Titre4Car">
    <w:name w:val="Titre 4 Car"/>
    <w:basedOn w:val="Policepardfaut"/>
    <w:link w:val="Titre4"/>
    <w:uiPriority w:val="9"/>
    <w:semiHidden/>
    <w:rsid w:val="0012581F"/>
    <w:rPr>
      <w:rFonts w:asciiTheme="majorHAnsi" w:eastAsiaTheme="majorEastAsia" w:hAnsiTheme="majorHAnsi" w:cstheme="majorBidi"/>
      <w:i/>
      <w:iCs/>
      <w:color w:val="2F5496" w:themeColor="accent1" w:themeShade="BF"/>
      <w:kern w:val="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590085"/>
    <w:pPr>
      <w:tabs>
        <w:tab w:val="center" w:pos="4252"/>
        <w:tab w:val="right" w:pos="8504"/>
      </w:tabs>
    </w:pPr>
  </w:style>
  <w:style w:type="character" w:customStyle="1" w:styleId="En-tteCar">
    <w:name w:val="En-tête Car"/>
    <w:basedOn w:val="Policepardfaut"/>
    <w:link w:val="En-tte"/>
    <w:uiPriority w:val="99"/>
    <w:rsid w:val="00590085"/>
    <w:rPr>
      <w:lang w:val="fr-FR"/>
    </w:rPr>
  </w:style>
  <w:style w:type="character" w:styleId="Lienhypertextesuivivisit">
    <w:name w:val="FollowedHyperlink"/>
    <w:basedOn w:val="Policepardfaut"/>
    <w:uiPriority w:val="99"/>
    <w:semiHidden/>
    <w:unhideWhenUsed/>
    <w:rsid w:val="00717FBC"/>
    <w:rPr>
      <w:color w:val="954F72" w:themeColor="followedHyperlink"/>
      <w:u w:val="single"/>
    </w:r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k@synergyforjusti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k@synergyforjusti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nergy-for-justice.cdn.prismic.io/synergy-for-justice/Z1BKBpbqstJ98Bj6_Call2025-ApplicationFormTemplateFRENCH.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meanddate.com/worldclock/converter.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imeanddate.com/worldclock/converte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8V4MIvhVBbW+iMGD0686+ARPA==">CgMxLjAyCGguZ2pkZ3hzMgloLjMwajB6bGwyCWguMWZvYjl0ZTIJaC4zem55c2g3MgloLjJldDkycDAyCGgudHlqY3d0MgloLjNkeTZ2a20yCWguMXQzaDVzZjIJaC40ZDM0b2c4MgloLjJzOGV5bzEyCWguMTdkcDh2dTIOaC5icjdyNWw1YmVmeGEyCWguM3JkY3JqbjIJaC4yNmluMXJnMghoLmxueGJ6OTIJaC40OXgyaWs1MgloLjJwMmNzcnk4AHIhMVhkV3Y0ZFozeEdJZURkeHYyQTAzeXVXNi00MlY0T19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11143</Characters>
  <Application>Microsoft Office Word</Application>
  <DocSecurity>0</DocSecurity>
  <Lines>92</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Palfart</dc:creator>
  <cp:lastModifiedBy>Lisa Palfart</cp:lastModifiedBy>
  <cp:revision>2</cp:revision>
  <dcterms:created xsi:type="dcterms:W3CDTF">2025-01-10T08:47:00Z</dcterms:created>
  <dcterms:modified xsi:type="dcterms:W3CDTF">2025-01-10T08:47:00Z</dcterms:modified>
</cp:coreProperties>
</file>